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37" w:rsidRDefault="008F4437">
      <w:pPr>
        <w:pStyle w:val="Title"/>
        <w:rPr>
          <w:sz w:val="22"/>
          <w:szCs w:val="22"/>
        </w:rPr>
      </w:pPr>
    </w:p>
    <w:p w:rsidR="00661FD0" w:rsidRDefault="00661FD0">
      <w:pPr>
        <w:pStyle w:val="Title"/>
        <w:rPr>
          <w:sz w:val="22"/>
          <w:szCs w:val="22"/>
        </w:rPr>
      </w:pPr>
    </w:p>
    <w:p w:rsidR="00C66100" w:rsidRPr="001A5AD2" w:rsidRDefault="00C66100">
      <w:pPr>
        <w:pStyle w:val="Title"/>
        <w:rPr>
          <w:sz w:val="22"/>
          <w:szCs w:val="22"/>
        </w:rPr>
      </w:pPr>
      <w:r w:rsidRPr="001A5AD2">
        <w:rPr>
          <w:sz w:val="22"/>
          <w:szCs w:val="22"/>
        </w:rPr>
        <w:t>ANNUAL REPORT FOR THE DIVISION OF ACADEMIC AFFAIRS</w:t>
      </w:r>
    </w:p>
    <w:p w:rsidR="00C66100" w:rsidRPr="001A5AD2" w:rsidRDefault="00C66100">
      <w:pPr>
        <w:pStyle w:val="Title"/>
        <w:rPr>
          <w:sz w:val="22"/>
          <w:szCs w:val="22"/>
        </w:rPr>
      </w:pPr>
    </w:p>
    <w:p w:rsidR="00C66100" w:rsidRPr="009470C8" w:rsidRDefault="009470C8">
      <w:pPr>
        <w:autoSpaceDE w:val="0"/>
        <w:autoSpaceDN w:val="0"/>
        <w:adjustRightInd w:val="0"/>
        <w:jc w:val="center"/>
        <w:rPr>
          <w:rFonts w:ascii="Times-Roman" w:hAnsi="Times-Roman"/>
          <w:sz w:val="22"/>
          <w:szCs w:val="22"/>
          <w:u w:val="single"/>
        </w:rPr>
      </w:pPr>
      <w:r w:rsidRPr="009470C8">
        <w:rPr>
          <w:rFonts w:ascii="Times-Roman" w:hAnsi="Times-Roman"/>
          <w:sz w:val="22"/>
          <w:szCs w:val="22"/>
          <w:u w:val="single"/>
        </w:rPr>
        <w:t>Business and Supply Chain Management (BSCM)</w:t>
      </w:r>
      <w:r w:rsidR="00BC7206">
        <w:rPr>
          <w:rFonts w:ascii="Times-Roman" w:hAnsi="Times-Roman"/>
          <w:sz w:val="22"/>
          <w:szCs w:val="22"/>
          <w:u w:val="single"/>
        </w:rPr>
        <w:t xml:space="preserve"> 696, 697, 294</w:t>
      </w:r>
    </w:p>
    <w:p w:rsidR="00C66100" w:rsidRPr="001A5AD2" w:rsidRDefault="00C66100">
      <w:pPr>
        <w:autoSpaceDE w:val="0"/>
        <w:autoSpaceDN w:val="0"/>
        <w:adjustRightInd w:val="0"/>
        <w:jc w:val="center"/>
        <w:rPr>
          <w:rFonts w:ascii="Times-Roman" w:hAnsi="Times-Roman"/>
          <w:sz w:val="22"/>
          <w:szCs w:val="22"/>
        </w:rPr>
      </w:pPr>
      <w:r w:rsidRPr="001A5AD2">
        <w:rPr>
          <w:rFonts w:ascii="Times-Roman" w:hAnsi="Times-Roman"/>
          <w:sz w:val="22"/>
          <w:szCs w:val="22"/>
        </w:rPr>
        <w:t>Department/Unit</w:t>
      </w:r>
    </w:p>
    <w:p w:rsidR="00C66100" w:rsidRPr="001A5AD2" w:rsidRDefault="00C66100">
      <w:pPr>
        <w:autoSpaceDE w:val="0"/>
        <w:autoSpaceDN w:val="0"/>
        <w:adjustRightInd w:val="0"/>
        <w:rPr>
          <w:rFonts w:ascii="Times-Roman" w:hAnsi="Times-Roman"/>
          <w:sz w:val="22"/>
          <w:szCs w:val="22"/>
        </w:rPr>
      </w:pPr>
      <w:r w:rsidRPr="00257C64">
        <w:rPr>
          <w:rFonts w:ascii="Times-Roman" w:hAnsi="Times-Roman"/>
          <w:sz w:val="22"/>
          <w:szCs w:val="22"/>
        </w:rPr>
        <w:t>__</w:t>
      </w:r>
      <w:r w:rsidR="009433E1">
        <w:rPr>
          <w:rFonts w:ascii="Times-Roman" w:hAnsi="Times-Roman"/>
          <w:sz w:val="22"/>
          <w:szCs w:val="22"/>
        </w:rPr>
        <w:t>June 1, 2010 – May 31, 2011</w:t>
      </w:r>
      <w:r w:rsidR="001C6E57" w:rsidRPr="00257C64">
        <w:rPr>
          <w:rFonts w:ascii="Times-Roman" w:hAnsi="Times-Roman"/>
          <w:sz w:val="22"/>
          <w:szCs w:val="22"/>
        </w:rPr>
        <w:t>_____</w:t>
      </w:r>
      <w:r w:rsidR="009470C8">
        <w:rPr>
          <w:rFonts w:ascii="Times-Roman" w:hAnsi="Times-Roman"/>
          <w:sz w:val="22"/>
          <w:szCs w:val="22"/>
        </w:rPr>
        <w:t xml:space="preserve"> </w:t>
      </w:r>
      <w:r w:rsidR="009470C8">
        <w:rPr>
          <w:rFonts w:ascii="Times-Roman" w:hAnsi="Times-Roman"/>
          <w:sz w:val="22"/>
          <w:szCs w:val="22"/>
        </w:rPr>
        <w:tab/>
      </w:r>
      <w:r w:rsidR="009470C8">
        <w:rPr>
          <w:rFonts w:ascii="Times-Roman" w:hAnsi="Times-Roman"/>
          <w:sz w:val="22"/>
          <w:szCs w:val="22"/>
        </w:rPr>
        <w:tab/>
      </w:r>
      <w:r w:rsidR="009470C8">
        <w:rPr>
          <w:rFonts w:ascii="Times-Roman" w:hAnsi="Times-Roman"/>
          <w:sz w:val="22"/>
          <w:szCs w:val="22"/>
        </w:rPr>
        <w:tab/>
      </w:r>
      <w:r w:rsidR="009470C8">
        <w:rPr>
          <w:rFonts w:ascii="Times-Roman" w:hAnsi="Times-Roman"/>
          <w:sz w:val="22"/>
          <w:szCs w:val="22"/>
        </w:rPr>
        <w:tab/>
      </w:r>
      <w:r w:rsidR="009470C8">
        <w:rPr>
          <w:rFonts w:ascii="Times-Roman" w:hAnsi="Times-Roman"/>
          <w:sz w:val="22"/>
          <w:szCs w:val="22"/>
        </w:rPr>
        <w:tab/>
      </w:r>
      <w:r w:rsidR="009470C8">
        <w:rPr>
          <w:rFonts w:ascii="Times-Roman" w:hAnsi="Times-Roman"/>
          <w:sz w:val="22"/>
          <w:szCs w:val="22"/>
        </w:rPr>
        <w:tab/>
      </w:r>
      <w:r w:rsidR="009470C8" w:rsidRPr="009470C8">
        <w:rPr>
          <w:rFonts w:ascii="Times-Roman" w:hAnsi="Times-Roman"/>
          <w:sz w:val="22"/>
          <w:szCs w:val="22"/>
          <w:u w:val="single"/>
        </w:rPr>
        <w:t>June 13, 2011</w:t>
      </w:r>
    </w:p>
    <w:p w:rsidR="00C66100" w:rsidRPr="001A5AD2" w:rsidRDefault="00C66100">
      <w:pPr>
        <w:autoSpaceDE w:val="0"/>
        <w:autoSpaceDN w:val="0"/>
        <w:adjustRightInd w:val="0"/>
        <w:rPr>
          <w:rFonts w:ascii="Times-Roman" w:hAnsi="Times-Roman"/>
          <w:sz w:val="22"/>
          <w:szCs w:val="22"/>
        </w:rPr>
      </w:pPr>
      <w:r w:rsidRPr="001A5AD2">
        <w:rPr>
          <w:rFonts w:ascii="Times-Roman" w:hAnsi="Times-Roman"/>
          <w:sz w:val="22"/>
          <w:szCs w:val="22"/>
        </w:rPr>
        <w:t>(Period Covered)</w:t>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t xml:space="preserve"> (Date Submitted)</w:t>
      </w:r>
    </w:p>
    <w:p w:rsidR="00C66100" w:rsidRPr="001A5AD2" w:rsidRDefault="00C66100">
      <w:pPr>
        <w:autoSpaceDE w:val="0"/>
        <w:autoSpaceDN w:val="0"/>
        <w:adjustRightInd w:val="0"/>
        <w:rPr>
          <w:rFonts w:ascii="Times-Roman" w:hAnsi="Times-Roman"/>
          <w:sz w:val="22"/>
          <w:szCs w:val="22"/>
        </w:rPr>
      </w:pPr>
    </w:p>
    <w:p w:rsidR="00C66100" w:rsidRPr="00257C64" w:rsidRDefault="00257C64">
      <w:pPr>
        <w:autoSpaceDE w:val="0"/>
        <w:autoSpaceDN w:val="0"/>
        <w:adjustRightInd w:val="0"/>
        <w:rPr>
          <w:rFonts w:ascii="Times-Roman" w:hAnsi="Times-Roman"/>
          <w:sz w:val="22"/>
          <w:szCs w:val="22"/>
        </w:rPr>
      </w:pPr>
      <w:r w:rsidRPr="00257C64">
        <w:rPr>
          <w:rFonts w:ascii="Times-Roman" w:hAnsi="Times-Roman"/>
          <w:sz w:val="22"/>
          <w:szCs w:val="22"/>
        </w:rPr>
        <w:t xml:space="preserve">A.  </w:t>
      </w:r>
      <w:r w:rsidR="001A5AD2" w:rsidRPr="00257C64">
        <w:rPr>
          <w:rFonts w:ascii="Times-Roman" w:hAnsi="Times-Roman"/>
          <w:sz w:val="22"/>
          <w:szCs w:val="22"/>
        </w:rPr>
        <w:t xml:space="preserve">All departments/units respond to </w:t>
      </w:r>
      <w:r w:rsidR="008F4437" w:rsidRPr="00257C64">
        <w:rPr>
          <w:rFonts w:ascii="Times-Roman" w:hAnsi="Times-Roman"/>
          <w:sz w:val="22"/>
          <w:szCs w:val="22"/>
        </w:rPr>
        <w:t xml:space="preserve">all </w:t>
      </w:r>
      <w:r w:rsidR="001A5AD2" w:rsidRPr="00257C64">
        <w:rPr>
          <w:rFonts w:ascii="Times-Roman" w:hAnsi="Times-Roman"/>
          <w:sz w:val="22"/>
          <w:szCs w:val="22"/>
        </w:rPr>
        <w:t>questions.</w:t>
      </w:r>
    </w:p>
    <w:p w:rsidR="001A5AD2" w:rsidRPr="001A5AD2" w:rsidRDefault="001A5AD2">
      <w:pPr>
        <w:autoSpaceDE w:val="0"/>
        <w:autoSpaceDN w:val="0"/>
        <w:adjustRightInd w:val="0"/>
        <w:rPr>
          <w:rFonts w:ascii="Times-Roman" w:hAnsi="Times-Roman"/>
          <w:sz w:val="22"/>
          <w:szCs w:val="22"/>
        </w:rPr>
      </w:pPr>
    </w:p>
    <w:p w:rsidR="00C66100" w:rsidRPr="001A5AD2" w:rsidRDefault="00C66100">
      <w:pPr>
        <w:autoSpaceDE w:val="0"/>
        <w:autoSpaceDN w:val="0"/>
        <w:adjustRightInd w:val="0"/>
        <w:rPr>
          <w:rFonts w:ascii="Times-Roman" w:hAnsi="Times-Roman"/>
          <w:sz w:val="22"/>
          <w:szCs w:val="22"/>
        </w:rPr>
      </w:pPr>
      <w:r w:rsidRPr="001A5AD2">
        <w:rPr>
          <w:rFonts w:ascii="Times-Roman" w:hAnsi="Times-Roman"/>
          <w:sz w:val="22"/>
          <w:szCs w:val="22"/>
        </w:rPr>
        <w:t>1.  What are the department/unit</w:t>
      </w:r>
      <w:r w:rsidR="00A82043" w:rsidRPr="001A5AD2">
        <w:rPr>
          <w:rFonts w:ascii="Times-Roman" w:hAnsi="Times-Roman"/>
          <w:sz w:val="22"/>
          <w:szCs w:val="22"/>
        </w:rPr>
        <w:t>’s</w:t>
      </w:r>
      <w:r w:rsidRPr="001A5AD2">
        <w:rPr>
          <w:rFonts w:ascii="Times-Roman" w:hAnsi="Times-Roman"/>
          <w:sz w:val="22"/>
          <w:szCs w:val="22"/>
        </w:rPr>
        <w:t xml:space="preserve"> achievements for the past year? If you wish to add any other information on your department/unit activities and accomplishments, please do so.</w:t>
      </w:r>
    </w:p>
    <w:p w:rsidR="009433E1" w:rsidRDefault="001C6E57">
      <w:pPr>
        <w:autoSpaceDE w:val="0"/>
        <w:autoSpaceDN w:val="0"/>
        <w:adjustRightInd w:val="0"/>
        <w:rPr>
          <w:rFonts w:ascii="Times-Roman" w:hAnsi="Times-Roman"/>
          <w:sz w:val="22"/>
          <w:szCs w:val="22"/>
        </w:rPr>
      </w:pPr>
      <w:r w:rsidRPr="00257C64">
        <w:rPr>
          <w:rFonts w:ascii="Times-Roman" w:hAnsi="Times-Roman"/>
          <w:sz w:val="22"/>
          <w:szCs w:val="22"/>
        </w:rPr>
        <w:t xml:space="preserve">Identify those achievements, if </w:t>
      </w:r>
      <w:proofErr w:type="gramStart"/>
      <w:r w:rsidRPr="00257C64">
        <w:rPr>
          <w:rFonts w:ascii="Times-Roman" w:hAnsi="Times-Roman"/>
          <w:sz w:val="22"/>
          <w:szCs w:val="22"/>
        </w:rPr>
        <w:t>any, that</w:t>
      </w:r>
      <w:proofErr w:type="gramEnd"/>
      <w:r w:rsidRPr="00257C64">
        <w:rPr>
          <w:rFonts w:ascii="Times-Roman" w:hAnsi="Times-Roman"/>
          <w:sz w:val="22"/>
          <w:szCs w:val="22"/>
        </w:rPr>
        <w:t xml:space="preserve"> will contribute to each of the Strategic</w:t>
      </w:r>
      <w:r w:rsidR="009433E1">
        <w:rPr>
          <w:rFonts w:ascii="Times-Roman" w:hAnsi="Times-Roman"/>
          <w:sz w:val="22"/>
          <w:szCs w:val="22"/>
        </w:rPr>
        <w:t xml:space="preserve"> Plan (2009-2012) Institutional Goals:</w:t>
      </w:r>
    </w:p>
    <w:p w:rsidR="009433E1" w:rsidRDefault="001C6E57" w:rsidP="009433E1">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Enhance the College’s Acad</w:t>
      </w:r>
      <w:r w:rsidR="009433E1">
        <w:rPr>
          <w:rFonts w:ascii="Times-Roman" w:hAnsi="Times-Roman"/>
          <w:sz w:val="22"/>
          <w:szCs w:val="22"/>
        </w:rPr>
        <w:t>emic Excellence and Reputation</w:t>
      </w:r>
    </w:p>
    <w:p w:rsidR="009470C8" w:rsidRDefault="00BE74C9" w:rsidP="009470C8">
      <w:pPr>
        <w:numPr>
          <w:ilvl w:val="1"/>
          <w:numId w:val="2"/>
        </w:numPr>
        <w:autoSpaceDE w:val="0"/>
        <w:autoSpaceDN w:val="0"/>
        <w:adjustRightInd w:val="0"/>
        <w:rPr>
          <w:rFonts w:ascii="Times-Roman" w:hAnsi="Times-Roman"/>
          <w:sz w:val="22"/>
          <w:szCs w:val="22"/>
        </w:rPr>
      </w:pPr>
      <w:r>
        <w:rPr>
          <w:rFonts w:ascii="Times-Roman" w:hAnsi="Times-Roman"/>
          <w:sz w:val="22"/>
          <w:szCs w:val="22"/>
        </w:rPr>
        <w:t>Department h</w:t>
      </w:r>
      <w:r w:rsidR="009470C8">
        <w:rPr>
          <w:rFonts w:ascii="Times-Roman" w:hAnsi="Times-Roman"/>
          <w:sz w:val="22"/>
          <w:szCs w:val="22"/>
        </w:rPr>
        <w:t>elped coordinate and implement, with the North Country Chamber of Commerce, the 3</w:t>
      </w:r>
      <w:r w:rsidR="009470C8" w:rsidRPr="009470C8">
        <w:rPr>
          <w:rFonts w:ascii="Times-Roman" w:hAnsi="Times-Roman"/>
          <w:sz w:val="22"/>
          <w:szCs w:val="22"/>
          <w:vertAlign w:val="superscript"/>
        </w:rPr>
        <w:t>rd</w:t>
      </w:r>
      <w:r w:rsidR="009470C8">
        <w:rPr>
          <w:rFonts w:ascii="Times-Roman" w:hAnsi="Times-Roman"/>
          <w:sz w:val="22"/>
          <w:szCs w:val="22"/>
        </w:rPr>
        <w:t xml:space="preserve"> annual Global Supply Chain Management Conference (</w:t>
      </w:r>
      <w:r>
        <w:rPr>
          <w:rFonts w:ascii="Times-Roman" w:hAnsi="Times-Roman"/>
          <w:sz w:val="22"/>
          <w:szCs w:val="22"/>
        </w:rPr>
        <w:t xml:space="preserve">overall </w:t>
      </w:r>
      <w:r w:rsidR="009470C8">
        <w:rPr>
          <w:rFonts w:ascii="Times-Roman" w:hAnsi="Times-Roman"/>
          <w:sz w:val="22"/>
          <w:szCs w:val="22"/>
        </w:rPr>
        <w:t>primary process driver – Dr. Neureuther</w:t>
      </w:r>
      <w:r>
        <w:rPr>
          <w:rFonts w:ascii="Times-Roman" w:hAnsi="Times-Roman"/>
          <w:sz w:val="22"/>
          <w:szCs w:val="22"/>
        </w:rPr>
        <w:t>, academic proceedings editor – Dr. Choe</w:t>
      </w:r>
      <w:r w:rsidR="009470C8">
        <w:rPr>
          <w:rFonts w:ascii="Times-Roman" w:hAnsi="Times-Roman"/>
          <w:sz w:val="22"/>
          <w:szCs w:val="22"/>
        </w:rPr>
        <w:t>)</w:t>
      </w:r>
    </w:p>
    <w:p w:rsidR="00BE74C9" w:rsidRDefault="00BE74C9" w:rsidP="009470C8">
      <w:pPr>
        <w:numPr>
          <w:ilvl w:val="1"/>
          <w:numId w:val="2"/>
        </w:numPr>
        <w:autoSpaceDE w:val="0"/>
        <w:autoSpaceDN w:val="0"/>
        <w:adjustRightInd w:val="0"/>
        <w:rPr>
          <w:rFonts w:ascii="Times-Roman" w:hAnsi="Times-Roman"/>
          <w:sz w:val="22"/>
          <w:szCs w:val="22"/>
        </w:rPr>
      </w:pPr>
      <w:r>
        <w:rPr>
          <w:rFonts w:ascii="Times-Roman" w:hAnsi="Times-Roman"/>
          <w:sz w:val="22"/>
          <w:szCs w:val="22"/>
        </w:rPr>
        <w:t>Published 2011 Global Supply Chain Management Conference Academic Proceedings (proceedings editor Dr. Choe)</w:t>
      </w:r>
    </w:p>
    <w:p w:rsidR="00FA60EC" w:rsidRPr="00FA60EC" w:rsidRDefault="00FA60EC" w:rsidP="009470C8">
      <w:pPr>
        <w:numPr>
          <w:ilvl w:val="1"/>
          <w:numId w:val="2"/>
        </w:numPr>
        <w:autoSpaceDE w:val="0"/>
        <w:autoSpaceDN w:val="0"/>
        <w:adjustRightInd w:val="0"/>
        <w:rPr>
          <w:rFonts w:ascii="Times-Roman" w:hAnsi="Times-Roman"/>
          <w:sz w:val="22"/>
          <w:szCs w:val="22"/>
        </w:rPr>
      </w:pPr>
      <w:r w:rsidRPr="004038ED">
        <w:t xml:space="preserve">Have a relationship with the Journal of Marketing Channels where we publish papers in this well respected journal in conjunction with our </w:t>
      </w:r>
      <w:r>
        <w:t xml:space="preserve">Global Supply Chain Management </w:t>
      </w:r>
      <w:r w:rsidRPr="004038ED">
        <w:t>conference</w:t>
      </w:r>
    </w:p>
    <w:p w:rsidR="00FA60EC" w:rsidRPr="004038ED" w:rsidRDefault="00FA60EC" w:rsidP="00FA60EC">
      <w:pPr>
        <w:pStyle w:val="ListParagraph"/>
        <w:numPr>
          <w:ilvl w:val="0"/>
          <w:numId w:val="8"/>
        </w:numPr>
      </w:pPr>
      <w:r w:rsidRPr="004038ED">
        <w:t>Industry acceptance of the GSCM program as academically superior</w:t>
      </w:r>
    </w:p>
    <w:p w:rsidR="00FA60EC" w:rsidRPr="004038ED" w:rsidRDefault="00FA60EC" w:rsidP="00FA60EC">
      <w:pPr>
        <w:pStyle w:val="ListParagraph"/>
        <w:numPr>
          <w:ilvl w:val="1"/>
          <w:numId w:val="8"/>
        </w:numPr>
      </w:pPr>
      <w:r w:rsidRPr="004038ED">
        <w:t>Relationship with Supply Chain Logistic Association of Canada</w:t>
      </w:r>
    </w:p>
    <w:p w:rsidR="00FA60EC" w:rsidRPr="004038ED" w:rsidRDefault="00FA60EC" w:rsidP="00FA60EC">
      <w:pPr>
        <w:pStyle w:val="ListParagraph"/>
        <w:numPr>
          <w:ilvl w:val="1"/>
          <w:numId w:val="8"/>
        </w:numPr>
      </w:pPr>
      <w:r w:rsidRPr="004038ED">
        <w:t>Relationship and corporate membership with Council of Supply Chain Management Professionals</w:t>
      </w:r>
    </w:p>
    <w:p w:rsidR="0013212B" w:rsidRDefault="00FA60EC" w:rsidP="0013212B">
      <w:pPr>
        <w:numPr>
          <w:ilvl w:val="2"/>
          <w:numId w:val="2"/>
        </w:numPr>
        <w:autoSpaceDE w:val="0"/>
        <w:autoSpaceDN w:val="0"/>
        <w:adjustRightInd w:val="0"/>
        <w:rPr>
          <w:rFonts w:ascii="Times-Roman" w:hAnsi="Times-Roman"/>
          <w:sz w:val="22"/>
          <w:szCs w:val="22"/>
        </w:rPr>
      </w:pPr>
      <w:r w:rsidRPr="004038ED">
        <w:t>Noted in the Institute of Supply Management as a university which offers a program of study in Supply Chain Management and Logistics</w:t>
      </w:r>
    </w:p>
    <w:p w:rsidR="0013212B" w:rsidRDefault="0013212B" w:rsidP="0013212B">
      <w:pPr>
        <w:numPr>
          <w:ilvl w:val="1"/>
          <w:numId w:val="2"/>
        </w:numPr>
        <w:autoSpaceDE w:val="0"/>
        <w:autoSpaceDN w:val="0"/>
        <w:adjustRightInd w:val="0"/>
        <w:rPr>
          <w:rFonts w:ascii="Times-Roman" w:hAnsi="Times-Roman"/>
          <w:sz w:val="22"/>
          <w:szCs w:val="22"/>
        </w:rPr>
      </w:pPr>
      <w:r>
        <w:rPr>
          <w:rFonts w:ascii="Times-Roman" w:hAnsi="Times-Roman"/>
          <w:sz w:val="22"/>
          <w:szCs w:val="22"/>
        </w:rPr>
        <w:t>Maintained a strong and growing SUNY Plattsburgh at Queensbury Business Administration major in a vital upstate market.</w:t>
      </w:r>
    </w:p>
    <w:p w:rsidR="0013212B" w:rsidRPr="0013212B" w:rsidRDefault="0013212B" w:rsidP="0013212B">
      <w:pPr>
        <w:numPr>
          <w:ilvl w:val="1"/>
          <w:numId w:val="2"/>
        </w:numPr>
        <w:autoSpaceDE w:val="0"/>
        <w:autoSpaceDN w:val="0"/>
        <w:adjustRightInd w:val="0"/>
        <w:rPr>
          <w:rFonts w:ascii="Times-Roman" w:hAnsi="Times-Roman"/>
          <w:sz w:val="22"/>
          <w:szCs w:val="22"/>
        </w:rPr>
      </w:pPr>
      <w:r>
        <w:rPr>
          <w:rFonts w:ascii="Times-Roman" w:hAnsi="Times-Roman"/>
          <w:sz w:val="22"/>
          <w:szCs w:val="22"/>
        </w:rPr>
        <w:t>Academic Excellence:</w:t>
      </w:r>
    </w:p>
    <w:p w:rsidR="007076C3" w:rsidRDefault="007076C3" w:rsidP="0013212B">
      <w:pPr>
        <w:numPr>
          <w:ilvl w:val="2"/>
          <w:numId w:val="2"/>
        </w:numPr>
        <w:autoSpaceDE w:val="0"/>
        <w:autoSpaceDN w:val="0"/>
        <w:adjustRightInd w:val="0"/>
        <w:rPr>
          <w:rFonts w:ascii="Times-Roman" w:hAnsi="Times-Roman"/>
          <w:sz w:val="22"/>
          <w:szCs w:val="22"/>
        </w:rPr>
      </w:pPr>
      <w:r>
        <w:rPr>
          <w:rFonts w:ascii="Times-Roman" w:hAnsi="Times-Roman"/>
          <w:sz w:val="22"/>
          <w:szCs w:val="22"/>
        </w:rPr>
        <w:t>Books</w:t>
      </w:r>
    </w:p>
    <w:p w:rsidR="007076C3" w:rsidRDefault="007076C3" w:rsidP="0013212B">
      <w:pPr>
        <w:numPr>
          <w:ilvl w:val="3"/>
          <w:numId w:val="2"/>
        </w:numPr>
        <w:autoSpaceDE w:val="0"/>
        <w:autoSpaceDN w:val="0"/>
        <w:adjustRightInd w:val="0"/>
        <w:rPr>
          <w:rFonts w:ascii="Times-Roman" w:hAnsi="Times-Roman"/>
          <w:sz w:val="22"/>
          <w:szCs w:val="22"/>
        </w:rPr>
      </w:pPr>
      <w:r>
        <w:rPr>
          <w:rFonts w:ascii="Times-Roman" w:hAnsi="Times-Roman"/>
          <w:sz w:val="22"/>
          <w:szCs w:val="22"/>
        </w:rPr>
        <w:t>Strang (1)</w:t>
      </w:r>
    </w:p>
    <w:p w:rsidR="007076C3" w:rsidRDefault="007076C3" w:rsidP="0013212B">
      <w:pPr>
        <w:numPr>
          <w:ilvl w:val="2"/>
          <w:numId w:val="2"/>
        </w:numPr>
        <w:autoSpaceDE w:val="0"/>
        <w:autoSpaceDN w:val="0"/>
        <w:adjustRightInd w:val="0"/>
        <w:rPr>
          <w:rFonts w:ascii="Times-Roman" w:hAnsi="Times-Roman"/>
          <w:sz w:val="22"/>
          <w:szCs w:val="22"/>
        </w:rPr>
      </w:pPr>
      <w:r>
        <w:rPr>
          <w:rFonts w:ascii="Times-Roman" w:hAnsi="Times-Roman"/>
          <w:sz w:val="22"/>
          <w:szCs w:val="22"/>
        </w:rPr>
        <w:t>Book Chapters</w:t>
      </w:r>
    </w:p>
    <w:p w:rsidR="007076C3" w:rsidRDefault="007076C3" w:rsidP="0013212B">
      <w:pPr>
        <w:numPr>
          <w:ilvl w:val="3"/>
          <w:numId w:val="2"/>
        </w:numPr>
        <w:autoSpaceDE w:val="0"/>
        <w:autoSpaceDN w:val="0"/>
        <w:adjustRightInd w:val="0"/>
        <w:rPr>
          <w:rFonts w:ascii="Times-Roman" w:hAnsi="Times-Roman"/>
          <w:sz w:val="22"/>
          <w:szCs w:val="22"/>
        </w:rPr>
      </w:pPr>
      <w:r>
        <w:rPr>
          <w:rFonts w:ascii="Times-Roman" w:hAnsi="Times-Roman"/>
          <w:sz w:val="22"/>
          <w:szCs w:val="22"/>
        </w:rPr>
        <w:t>Strang (3)</w:t>
      </w:r>
    </w:p>
    <w:p w:rsidR="007076C3" w:rsidRDefault="007076C3" w:rsidP="0013212B">
      <w:pPr>
        <w:numPr>
          <w:ilvl w:val="2"/>
          <w:numId w:val="2"/>
        </w:numPr>
        <w:autoSpaceDE w:val="0"/>
        <w:autoSpaceDN w:val="0"/>
        <w:adjustRightInd w:val="0"/>
        <w:rPr>
          <w:rFonts w:ascii="Times-Roman" w:hAnsi="Times-Roman"/>
          <w:sz w:val="22"/>
          <w:szCs w:val="22"/>
        </w:rPr>
      </w:pPr>
      <w:r>
        <w:rPr>
          <w:rFonts w:ascii="Times-Roman" w:hAnsi="Times-Roman"/>
          <w:sz w:val="22"/>
          <w:szCs w:val="22"/>
        </w:rPr>
        <w:t>Refereed articles:</w:t>
      </w:r>
    </w:p>
    <w:p w:rsidR="007076C3" w:rsidRDefault="007076C3" w:rsidP="0013212B">
      <w:pPr>
        <w:numPr>
          <w:ilvl w:val="3"/>
          <w:numId w:val="2"/>
        </w:numPr>
        <w:autoSpaceDE w:val="0"/>
        <w:autoSpaceDN w:val="0"/>
        <w:adjustRightInd w:val="0"/>
        <w:rPr>
          <w:rFonts w:ascii="Times-Roman" w:hAnsi="Times-Roman"/>
          <w:sz w:val="22"/>
          <w:szCs w:val="22"/>
        </w:rPr>
      </w:pPr>
      <w:r>
        <w:rPr>
          <w:rFonts w:ascii="Times-Roman" w:hAnsi="Times-Roman"/>
          <w:sz w:val="22"/>
          <w:szCs w:val="22"/>
        </w:rPr>
        <w:t>Strang (9), Choe (1), O’Neill (1), Neureuther (1)</w:t>
      </w:r>
    </w:p>
    <w:p w:rsidR="007076C3" w:rsidRDefault="007076C3" w:rsidP="0013212B">
      <w:pPr>
        <w:numPr>
          <w:ilvl w:val="2"/>
          <w:numId w:val="2"/>
        </w:numPr>
        <w:autoSpaceDE w:val="0"/>
        <w:autoSpaceDN w:val="0"/>
        <w:adjustRightInd w:val="0"/>
        <w:rPr>
          <w:rFonts w:ascii="Times-Roman" w:hAnsi="Times-Roman"/>
          <w:sz w:val="22"/>
          <w:szCs w:val="22"/>
        </w:rPr>
      </w:pPr>
      <w:r>
        <w:rPr>
          <w:rFonts w:ascii="Times-Roman" w:hAnsi="Times-Roman"/>
          <w:sz w:val="22"/>
          <w:szCs w:val="22"/>
        </w:rPr>
        <w:t>Conference Proceedings &amp; Presentations</w:t>
      </w:r>
    </w:p>
    <w:p w:rsidR="007076C3" w:rsidRDefault="007076C3" w:rsidP="0013212B">
      <w:pPr>
        <w:numPr>
          <w:ilvl w:val="3"/>
          <w:numId w:val="2"/>
        </w:numPr>
        <w:autoSpaceDE w:val="0"/>
        <w:autoSpaceDN w:val="0"/>
        <w:adjustRightInd w:val="0"/>
        <w:rPr>
          <w:rFonts w:ascii="Times-Roman" w:hAnsi="Times-Roman"/>
          <w:sz w:val="22"/>
          <w:szCs w:val="22"/>
        </w:rPr>
      </w:pPr>
      <w:r>
        <w:rPr>
          <w:rFonts w:ascii="Times-Roman" w:hAnsi="Times-Roman"/>
          <w:sz w:val="22"/>
          <w:szCs w:val="22"/>
        </w:rPr>
        <w:t>Strang (1), Choe (1), Neureuther (1)</w:t>
      </w:r>
    </w:p>
    <w:p w:rsidR="009433E1" w:rsidRDefault="001C6E57" w:rsidP="009433E1">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 xml:space="preserve">Enrich Student, </w:t>
      </w:r>
      <w:r w:rsidR="009433E1">
        <w:rPr>
          <w:rFonts w:ascii="Times-Roman" w:hAnsi="Times-Roman"/>
          <w:sz w:val="22"/>
          <w:szCs w:val="22"/>
        </w:rPr>
        <w:t>Faculty, and Staff Experiences</w:t>
      </w:r>
    </w:p>
    <w:p w:rsidR="007076C3" w:rsidRDefault="007076C3" w:rsidP="007076C3">
      <w:pPr>
        <w:numPr>
          <w:ilvl w:val="1"/>
          <w:numId w:val="2"/>
        </w:numPr>
        <w:autoSpaceDE w:val="0"/>
        <w:autoSpaceDN w:val="0"/>
        <w:adjustRightInd w:val="0"/>
        <w:rPr>
          <w:rFonts w:ascii="Times-Roman" w:hAnsi="Times-Roman"/>
          <w:sz w:val="22"/>
          <w:szCs w:val="22"/>
        </w:rPr>
      </w:pPr>
      <w:r>
        <w:rPr>
          <w:rFonts w:ascii="Times-Roman" w:hAnsi="Times-Roman"/>
          <w:sz w:val="22"/>
          <w:szCs w:val="22"/>
        </w:rPr>
        <w:t>Continued paid – co-op with Daimler Bus of Utica New York.</w:t>
      </w:r>
    </w:p>
    <w:p w:rsidR="007076C3" w:rsidRDefault="00772FC4" w:rsidP="007076C3">
      <w:pPr>
        <w:numPr>
          <w:ilvl w:val="1"/>
          <w:numId w:val="2"/>
        </w:numPr>
        <w:autoSpaceDE w:val="0"/>
        <w:autoSpaceDN w:val="0"/>
        <w:adjustRightInd w:val="0"/>
        <w:rPr>
          <w:rFonts w:ascii="Times-Roman" w:hAnsi="Times-Roman"/>
          <w:sz w:val="22"/>
          <w:szCs w:val="22"/>
        </w:rPr>
      </w:pPr>
      <w:r>
        <w:rPr>
          <w:rFonts w:ascii="Times-Roman" w:hAnsi="Times-Roman"/>
          <w:sz w:val="22"/>
          <w:szCs w:val="22"/>
        </w:rPr>
        <w:t xml:space="preserve">Working with Institutional Advancement, developed two $2,500 scholarships – one for business majors and one for Global Supply Chain Management majors – Donor – The Northeast Group. Agreement is for two years with a re-evaluation during 2011-2012 academic </w:t>
      </w:r>
      <w:proofErr w:type="gramStart"/>
      <w:r>
        <w:rPr>
          <w:rFonts w:ascii="Times-Roman" w:hAnsi="Times-Roman"/>
          <w:sz w:val="22"/>
          <w:szCs w:val="22"/>
        </w:rPr>
        <w:t>year</w:t>
      </w:r>
      <w:proofErr w:type="gramEnd"/>
      <w:r>
        <w:rPr>
          <w:rFonts w:ascii="Times-Roman" w:hAnsi="Times-Roman"/>
          <w:sz w:val="22"/>
          <w:szCs w:val="22"/>
        </w:rPr>
        <w:t>.</w:t>
      </w:r>
    </w:p>
    <w:p w:rsidR="004B3610" w:rsidRDefault="004B3610" w:rsidP="007076C3">
      <w:pPr>
        <w:numPr>
          <w:ilvl w:val="1"/>
          <w:numId w:val="2"/>
        </w:numPr>
        <w:autoSpaceDE w:val="0"/>
        <w:autoSpaceDN w:val="0"/>
        <w:adjustRightInd w:val="0"/>
        <w:rPr>
          <w:rFonts w:ascii="Times-Roman" w:hAnsi="Times-Roman"/>
          <w:sz w:val="22"/>
          <w:szCs w:val="22"/>
        </w:rPr>
      </w:pPr>
      <w:r>
        <w:rPr>
          <w:rFonts w:ascii="Times-Roman" w:hAnsi="Times-Roman"/>
          <w:sz w:val="22"/>
          <w:szCs w:val="22"/>
        </w:rPr>
        <w:t>Developing a Mobil RFID lab for GSCM majors.  All hardware and software acquired, with expected deployment in September 2011.</w:t>
      </w:r>
    </w:p>
    <w:p w:rsidR="00FA60EC" w:rsidRPr="004038ED" w:rsidRDefault="00FA60EC" w:rsidP="00FA60EC">
      <w:pPr>
        <w:numPr>
          <w:ilvl w:val="1"/>
          <w:numId w:val="2"/>
        </w:numPr>
      </w:pPr>
      <w:r w:rsidRPr="004038ED">
        <w:t>Corporate agreement with CSCMP, the U.S. premier industry association in supply chain management (with over 7,000 supply chain professional members)</w:t>
      </w:r>
    </w:p>
    <w:p w:rsidR="00FA60EC" w:rsidRPr="004038ED" w:rsidRDefault="00FA60EC" w:rsidP="00FA60EC">
      <w:pPr>
        <w:numPr>
          <w:ilvl w:val="2"/>
          <w:numId w:val="2"/>
        </w:numPr>
      </w:pPr>
      <w:r w:rsidRPr="004038ED">
        <w:t>Gives our students free student membership</w:t>
      </w:r>
    </w:p>
    <w:p w:rsidR="00FA60EC" w:rsidRPr="004038ED" w:rsidRDefault="00FA60EC" w:rsidP="00FA60EC">
      <w:pPr>
        <w:numPr>
          <w:ilvl w:val="2"/>
          <w:numId w:val="2"/>
        </w:numPr>
      </w:pPr>
      <w:r w:rsidRPr="004038ED">
        <w:t>Gives them access to cutting edge educational material</w:t>
      </w:r>
    </w:p>
    <w:p w:rsidR="00FA60EC" w:rsidRPr="004038ED" w:rsidRDefault="00FA60EC" w:rsidP="00FA60EC">
      <w:pPr>
        <w:numPr>
          <w:ilvl w:val="2"/>
          <w:numId w:val="2"/>
        </w:numPr>
      </w:pPr>
      <w:r w:rsidRPr="004038ED">
        <w:t>Gives them aces to the CSCMP job postings</w:t>
      </w:r>
    </w:p>
    <w:p w:rsidR="00FA60EC" w:rsidRPr="004038ED" w:rsidRDefault="00FA60EC" w:rsidP="00FA60EC">
      <w:pPr>
        <w:numPr>
          <w:ilvl w:val="2"/>
          <w:numId w:val="2"/>
        </w:numPr>
      </w:pPr>
      <w:r w:rsidRPr="004038ED">
        <w:lastRenderedPageBreak/>
        <w:t>Allows them to network with executives in the supply chain management field</w:t>
      </w:r>
    </w:p>
    <w:p w:rsidR="00FA60EC" w:rsidRPr="004038ED" w:rsidRDefault="00FA60EC" w:rsidP="00FA60EC">
      <w:pPr>
        <w:numPr>
          <w:ilvl w:val="2"/>
          <w:numId w:val="2"/>
        </w:numPr>
      </w:pPr>
      <w:r w:rsidRPr="004038ED">
        <w:t>Allows us to send two individual to the CSCMP Annual Conference</w:t>
      </w:r>
    </w:p>
    <w:p w:rsidR="00FA60EC" w:rsidRDefault="00FA60EC" w:rsidP="00FA60EC">
      <w:pPr>
        <w:numPr>
          <w:ilvl w:val="2"/>
          <w:numId w:val="2"/>
        </w:numPr>
      </w:pPr>
      <w:r w:rsidRPr="004038ED">
        <w:t>Allows us to advertise the program in their national directory and allows us an annual press release to advertise our program</w:t>
      </w:r>
    </w:p>
    <w:p w:rsidR="00FA60EC" w:rsidRPr="00FA60EC" w:rsidRDefault="00FA60EC" w:rsidP="00FA60EC">
      <w:pPr>
        <w:numPr>
          <w:ilvl w:val="1"/>
          <w:numId w:val="2"/>
        </w:numPr>
      </w:pPr>
      <w:r w:rsidRPr="004038ED">
        <w:t xml:space="preserve">Internships: Bombardier Transportation, CVPH, </w:t>
      </w:r>
      <w:proofErr w:type="spellStart"/>
      <w:r w:rsidRPr="004038ED">
        <w:t>Schonbeck</w:t>
      </w:r>
      <w:proofErr w:type="spellEnd"/>
      <w:r w:rsidRPr="004038ED">
        <w:t xml:space="preserve">, Huber &amp; </w:t>
      </w:r>
      <w:proofErr w:type="spellStart"/>
      <w:r w:rsidRPr="004038ED">
        <w:t>Suhner</w:t>
      </w:r>
      <w:proofErr w:type="spellEnd"/>
      <w:r w:rsidRPr="004038ED">
        <w:t xml:space="preserve"> (VT), AN </w:t>
      </w:r>
      <w:proofErr w:type="spellStart"/>
      <w:r w:rsidRPr="004038ED">
        <w:t>Deringer</w:t>
      </w:r>
      <w:proofErr w:type="spellEnd"/>
      <w:r w:rsidRPr="004038ED">
        <w:t xml:space="preserve">, </w:t>
      </w:r>
      <w:proofErr w:type="spellStart"/>
      <w:r w:rsidRPr="004038ED">
        <w:t>Wakerfern</w:t>
      </w:r>
      <w:proofErr w:type="spellEnd"/>
      <w:r w:rsidRPr="004038ED">
        <w:t xml:space="preserve"> (Warehousing), Northeast Group, IBM, </w:t>
      </w:r>
      <w:proofErr w:type="spellStart"/>
      <w:r w:rsidRPr="004038ED">
        <w:t>Akrimax</w:t>
      </w:r>
      <w:proofErr w:type="spellEnd"/>
      <w:r w:rsidRPr="004038ED">
        <w:t xml:space="preserve"> (old Wyeth Pharmaceuticals), Fastenal, Fujitsu, </w:t>
      </w:r>
      <w:proofErr w:type="spellStart"/>
      <w:r w:rsidRPr="004038ED">
        <w:t>Peronne</w:t>
      </w:r>
      <w:proofErr w:type="spellEnd"/>
      <w:r w:rsidRPr="004038ED">
        <w:t xml:space="preserve"> </w:t>
      </w:r>
      <w:proofErr w:type="spellStart"/>
      <w:r w:rsidRPr="004038ED">
        <w:t>Areospace</w:t>
      </w:r>
      <w:proofErr w:type="spellEnd"/>
      <w:r w:rsidRPr="004038ED">
        <w:t>, NY State Department of Economic Development-Montreal</w:t>
      </w:r>
    </w:p>
    <w:p w:rsidR="009433E1" w:rsidRDefault="001C6E57" w:rsidP="009433E1">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Incr</w:t>
      </w:r>
      <w:r w:rsidR="009433E1">
        <w:rPr>
          <w:rFonts w:ascii="Times-Roman" w:hAnsi="Times-Roman"/>
          <w:sz w:val="22"/>
          <w:szCs w:val="22"/>
        </w:rPr>
        <w:t>ease Environmental Conservation and Sustainability</w:t>
      </w:r>
    </w:p>
    <w:p w:rsidR="009433E1" w:rsidRDefault="001C6E57" w:rsidP="009433E1">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Promote M</w:t>
      </w:r>
      <w:r w:rsidR="009433E1">
        <w:rPr>
          <w:rFonts w:ascii="Times-Roman" w:hAnsi="Times-Roman"/>
          <w:sz w:val="22"/>
          <w:szCs w:val="22"/>
        </w:rPr>
        <w:t>ore Effective Use of Resources</w:t>
      </w:r>
    </w:p>
    <w:p w:rsidR="00C66100" w:rsidRDefault="001C6E57" w:rsidP="009433E1">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Provide Service to</w:t>
      </w:r>
      <w:r w:rsidR="009433E1">
        <w:rPr>
          <w:rFonts w:ascii="Times-Roman" w:hAnsi="Times-Roman"/>
          <w:sz w:val="22"/>
          <w:szCs w:val="22"/>
        </w:rPr>
        <w:t xml:space="preserve"> Our Region and Beyond</w:t>
      </w:r>
    </w:p>
    <w:p w:rsidR="009470C8" w:rsidRDefault="009470C8" w:rsidP="009470C8">
      <w:pPr>
        <w:numPr>
          <w:ilvl w:val="1"/>
          <w:numId w:val="2"/>
        </w:numPr>
        <w:autoSpaceDE w:val="0"/>
        <w:autoSpaceDN w:val="0"/>
        <w:adjustRightInd w:val="0"/>
        <w:rPr>
          <w:rFonts w:ascii="Times-Roman" w:hAnsi="Times-Roman"/>
          <w:sz w:val="22"/>
          <w:szCs w:val="22"/>
        </w:rPr>
      </w:pPr>
      <w:r>
        <w:rPr>
          <w:rFonts w:ascii="Times-Roman" w:hAnsi="Times-Roman"/>
          <w:sz w:val="22"/>
          <w:szCs w:val="22"/>
        </w:rPr>
        <w:t>Helped coordinate and implement, with the North Country Chamber of Commerce, the 3</w:t>
      </w:r>
      <w:r w:rsidRPr="009470C8">
        <w:rPr>
          <w:rFonts w:ascii="Times-Roman" w:hAnsi="Times-Roman"/>
          <w:sz w:val="22"/>
          <w:szCs w:val="22"/>
          <w:vertAlign w:val="superscript"/>
        </w:rPr>
        <w:t>rd</w:t>
      </w:r>
      <w:r>
        <w:rPr>
          <w:rFonts w:ascii="Times-Roman" w:hAnsi="Times-Roman"/>
          <w:sz w:val="22"/>
          <w:szCs w:val="22"/>
        </w:rPr>
        <w:t xml:space="preserve"> annual Global Supply Chain Management Conference (primary process driver – Dr. Neureuther)</w:t>
      </w:r>
    </w:p>
    <w:p w:rsidR="00FA60EC" w:rsidRDefault="00FA60EC" w:rsidP="00FA60EC">
      <w:pPr>
        <w:numPr>
          <w:ilvl w:val="1"/>
          <w:numId w:val="2"/>
        </w:numPr>
      </w:pPr>
      <w:r w:rsidRPr="004038ED">
        <w:t>Department, through its faculty, involved in Vision 2040, run by the IDEA group from The Development Corporation</w:t>
      </w:r>
      <w:r>
        <w:t>.</w:t>
      </w:r>
    </w:p>
    <w:p w:rsidR="00FA60EC" w:rsidRDefault="00FA60EC" w:rsidP="0033760F">
      <w:pPr>
        <w:numPr>
          <w:ilvl w:val="1"/>
          <w:numId w:val="2"/>
        </w:numPr>
      </w:pPr>
      <w:r>
        <w:t>Department, through its faculty, involved in the Workforce Development Roundtable, sponsored by the President of Clinton Community College.</w:t>
      </w:r>
    </w:p>
    <w:p w:rsidR="0033760F" w:rsidRPr="0033760F" w:rsidRDefault="0033760F" w:rsidP="0033760F">
      <w:pPr>
        <w:numPr>
          <w:ilvl w:val="1"/>
          <w:numId w:val="2"/>
        </w:numPr>
      </w:pPr>
      <w:r>
        <w:t>At the request of the Chamber, department presented GSCM curriculum and answered questions from one of North America’s largest supply chain integration companies, helping the North Country in making a positive case for relocating all of their eastern NA operations to the Plattsburgh area.</w:t>
      </w:r>
    </w:p>
    <w:p w:rsidR="001C6E57" w:rsidRPr="00257C64" w:rsidRDefault="001C6E57">
      <w:pPr>
        <w:autoSpaceDE w:val="0"/>
        <w:autoSpaceDN w:val="0"/>
        <w:adjustRightInd w:val="0"/>
        <w:rPr>
          <w:rFonts w:ascii="Times-Roman" w:hAnsi="Times-Roman"/>
          <w:sz w:val="22"/>
          <w:szCs w:val="22"/>
        </w:rPr>
      </w:pPr>
    </w:p>
    <w:p w:rsidR="00C66100" w:rsidRPr="00257C64" w:rsidRDefault="00C66100">
      <w:pPr>
        <w:autoSpaceDE w:val="0"/>
        <w:autoSpaceDN w:val="0"/>
        <w:adjustRightInd w:val="0"/>
        <w:rPr>
          <w:rFonts w:ascii="Times-Roman" w:hAnsi="Times-Roman"/>
          <w:sz w:val="22"/>
          <w:szCs w:val="22"/>
        </w:rPr>
      </w:pPr>
      <w:r w:rsidRPr="00257C64">
        <w:rPr>
          <w:rFonts w:ascii="Times-Roman" w:hAnsi="Times-Roman"/>
          <w:sz w:val="22"/>
          <w:szCs w:val="22"/>
        </w:rPr>
        <w:t xml:space="preserve">2.  What are the department/unit’s major goals for next year, and how do you plan to achieve them?  </w:t>
      </w:r>
    </w:p>
    <w:p w:rsidR="00DE7338" w:rsidRDefault="00DE7338">
      <w:pPr>
        <w:autoSpaceDE w:val="0"/>
        <w:autoSpaceDN w:val="0"/>
        <w:adjustRightInd w:val="0"/>
        <w:rPr>
          <w:rFonts w:ascii="Times-Roman" w:hAnsi="Times-Roman"/>
          <w:sz w:val="22"/>
          <w:szCs w:val="22"/>
        </w:rPr>
      </w:pPr>
      <w:r w:rsidRPr="00257C64">
        <w:rPr>
          <w:rFonts w:ascii="Times-Roman" w:hAnsi="Times-Roman"/>
          <w:sz w:val="22"/>
          <w:szCs w:val="22"/>
        </w:rPr>
        <w:t>Identify those goals</w:t>
      </w:r>
      <w:r w:rsidR="001C6E57" w:rsidRPr="00257C64">
        <w:rPr>
          <w:rFonts w:ascii="Times-Roman" w:hAnsi="Times-Roman"/>
          <w:sz w:val="22"/>
          <w:szCs w:val="22"/>
        </w:rPr>
        <w:t xml:space="preserve">, if </w:t>
      </w:r>
      <w:proofErr w:type="gramStart"/>
      <w:r w:rsidR="001C6E57" w:rsidRPr="00257C64">
        <w:rPr>
          <w:rFonts w:ascii="Times-Roman" w:hAnsi="Times-Roman"/>
          <w:sz w:val="22"/>
          <w:szCs w:val="22"/>
        </w:rPr>
        <w:t>any,</w:t>
      </w:r>
      <w:r w:rsidRPr="00257C64">
        <w:rPr>
          <w:rFonts w:ascii="Times-Roman" w:hAnsi="Times-Roman"/>
          <w:sz w:val="22"/>
          <w:szCs w:val="22"/>
        </w:rPr>
        <w:t xml:space="preserve"> that</w:t>
      </w:r>
      <w:proofErr w:type="gramEnd"/>
      <w:r w:rsidRPr="00257C64">
        <w:rPr>
          <w:rFonts w:ascii="Times-Roman" w:hAnsi="Times-Roman"/>
          <w:sz w:val="22"/>
          <w:szCs w:val="22"/>
        </w:rPr>
        <w:t xml:space="preserve"> will contribute to each of the Strategic Plan (2009-2012) </w:t>
      </w:r>
      <w:r w:rsidR="009433E1">
        <w:rPr>
          <w:rFonts w:ascii="Times-Roman" w:hAnsi="Times-Roman"/>
          <w:sz w:val="22"/>
          <w:szCs w:val="22"/>
        </w:rPr>
        <w:t>Institutional Goals</w:t>
      </w:r>
      <w:r w:rsidR="001C6E57" w:rsidRPr="00257C64">
        <w:rPr>
          <w:rFonts w:ascii="Times-Roman" w:hAnsi="Times-Roman"/>
          <w:sz w:val="22"/>
          <w:szCs w:val="22"/>
        </w:rPr>
        <w:t>.</w:t>
      </w:r>
      <w:r w:rsidRPr="00257C64">
        <w:rPr>
          <w:rFonts w:ascii="Times-Roman" w:hAnsi="Times-Roman"/>
          <w:sz w:val="22"/>
          <w:szCs w:val="22"/>
        </w:rPr>
        <w:t xml:space="preserve"> (</w:t>
      </w:r>
      <w:r w:rsidR="001C6E57" w:rsidRPr="00257C64">
        <w:rPr>
          <w:rFonts w:ascii="Times-Roman" w:hAnsi="Times-Roman"/>
          <w:sz w:val="22"/>
          <w:szCs w:val="22"/>
        </w:rPr>
        <w:t>See question #1.)</w:t>
      </w:r>
    </w:p>
    <w:p w:rsidR="00772FC4" w:rsidRDefault="00772FC4" w:rsidP="00772FC4">
      <w:pPr>
        <w:pStyle w:val="ListParagraph"/>
        <w:numPr>
          <w:ilvl w:val="0"/>
          <w:numId w:val="5"/>
        </w:numPr>
        <w:autoSpaceDE w:val="0"/>
        <w:autoSpaceDN w:val="0"/>
        <w:adjustRightInd w:val="0"/>
        <w:rPr>
          <w:rFonts w:ascii="Times-Roman" w:hAnsi="Times-Roman"/>
          <w:sz w:val="22"/>
          <w:szCs w:val="22"/>
        </w:rPr>
      </w:pPr>
      <w:r>
        <w:rPr>
          <w:rFonts w:ascii="Times-Roman" w:hAnsi="Times-Roman"/>
          <w:sz w:val="22"/>
          <w:szCs w:val="22"/>
        </w:rPr>
        <w:t>Continue to increase the number of Global Supply Chain Management majors.</w:t>
      </w:r>
    </w:p>
    <w:p w:rsidR="00772FC4" w:rsidRDefault="00772FC4" w:rsidP="00772FC4">
      <w:pPr>
        <w:pStyle w:val="ListParagraph"/>
        <w:numPr>
          <w:ilvl w:val="1"/>
          <w:numId w:val="5"/>
        </w:numPr>
        <w:autoSpaceDE w:val="0"/>
        <w:autoSpaceDN w:val="0"/>
        <w:adjustRightInd w:val="0"/>
        <w:rPr>
          <w:rFonts w:ascii="Times-Roman" w:hAnsi="Times-Roman"/>
          <w:sz w:val="22"/>
          <w:szCs w:val="22"/>
        </w:rPr>
      </w:pPr>
      <w:r>
        <w:rPr>
          <w:rFonts w:ascii="Times-Roman" w:hAnsi="Times-Roman"/>
          <w:sz w:val="22"/>
          <w:szCs w:val="22"/>
        </w:rPr>
        <w:t xml:space="preserve">Fall 2011 enrollments are excellent with 19 new majors (14 international – </w:t>
      </w:r>
      <w:proofErr w:type="spellStart"/>
      <w:r>
        <w:rPr>
          <w:rFonts w:ascii="Times-Roman" w:hAnsi="Times-Roman"/>
          <w:sz w:val="22"/>
          <w:szCs w:val="22"/>
        </w:rPr>
        <w:t>Wanli</w:t>
      </w:r>
      <w:proofErr w:type="spellEnd"/>
      <w:r>
        <w:rPr>
          <w:rFonts w:ascii="Times-Roman" w:hAnsi="Times-Roman"/>
          <w:sz w:val="22"/>
          <w:szCs w:val="22"/>
        </w:rPr>
        <w:t xml:space="preserve">, and 5 domestic (from 2 domestic in </w:t>
      </w:r>
      <w:proofErr w:type="gramStart"/>
      <w:r>
        <w:rPr>
          <w:rFonts w:ascii="Times-Roman" w:hAnsi="Times-Roman"/>
          <w:sz w:val="22"/>
          <w:szCs w:val="22"/>
        </w:rPr>
        <w:t>Fall</w:t>
      </w:r>
      <w:proofErr w:type="gramEnd"/>
      <w:r>
        <w:rPr>
          <w:rFonts w:ascii="Times-Roman" w:hAnsi="Times-Roman"/>
          <w:sz w:val="22"/>
          <w:szCs w:val="22"/>
        </w:rPr>
        <w:t xml:space="preserve"> ‘10).</w:t>
      </w:r>
    </w:p>
    <w:p w:rsidR="00772FC4" w:rsidRDefault="00772FC4" w:rsidP="00772FC4">
      <w:pPr>
        <w:pStyle w:val="ListParagraph"/>
        <w:numPr>
          <w:ilvl w:val="1"/>
          <w:numId w:val="5"/>
        </w:numPr>
        <w:autoSpaceDE w:val="0"/>
        <w:autoSpaceDN w:val="0"/>
        <w:adjustRightInd w:val="0"/>
        <w:rPr>
          <w:rFonts w:ascii="Times-Roman" w:hAnsi="Times-Roman"/>
          <w:sz w:val="22"/>
          <w:szCs w:val="22"/>
        </w:rPr>
      </w:pPr>
      <w:r>
        <w:rPr>
          <w:rFonts w:ascii="Times-Roman" w:hAnsi="Times-Roman"/>
          <w:sz w:val="22"/>
          <w:szCs w:val="22"/>
        </w:rPr>
        <w:t>Applied for and was awarded an internal admissions grant (very small) to enhance the visibility of the major via site visits to feed colleges (primarily SUNY Adirondack, Hudson Valley Community College, and Fulton – Montgomery CC) and create social media content for high school guidance counselors and gatekeepers.</w:t>
      </w:r>
    </w:p>
    <w:p w:rsidR="00772FC4" w:rsidRDefault="00772FC4" w:rsidP="00772FC4">
      <w:pPr>
        <w:pStyle w:val="ListParagraph"/>
        <w:numPr>
          <w:ilvl w:val="0"/>
          <w:numId w:val="5"/>
        </w:numPr>
        <w:autoSpaceDE w:val="0"/>
        <w:autoSpaceDN w:val="0"/>
        <w:adjustRightInd w:val="0"/>
        <w:rPr>
          <w:rFonts w:ascii="Times-Roman" w:hAnsi="Times-Roman"/>
          <w:sz w:val="22"/>
          <w:szCs w:val="22"/>
        </w:rPr>
      </w:pPr>
      <w:r>
        <w:rPr>
          <w:rFonts w:ascii="Times-Roman" w:hAnsi="Times-Roman"/>
          <w:sz w:val="22"/>
          <w:szCs w:val="22"/>
        </w:rPr>
        <w:t>Finalize articulation agreements with Clarkson’s MS in Global Supply Chain Management program and Syracuse’s MS in Global Supply Chain Management (both of these are at the completed language phase).</w:t>
      </w:r>
    </w:p>
    <w:p w:rsidR="00772FC4" w:rsidRDefault="00772FC4" w:rsidP="00772FC4">
      <w:pPr>
        <w:pStyle w:val="ListParagraph"/>
        <w:numPr>
          <w:ilvl w:val="0"/>
          <w:numId w:val="5"/>
        </w:numPr>
        <w:autoSpaceDE w:val="0"/>
        <w:autoSpaceDN w:val="0"/>
        <w:adjustRightInd w:val="0"/>
        <w:rPr>
          <w:rFonts w:ascii="Times-Roman" w:hAnsi="Times-Roman"/>
          <w:sz w:val="22"/>
          <w:szCs w:val="22"/>
        </w:rPr>
      </w:pPr>
      <w:r>
        <w:rPr>
          <w:rFonts w:ascii="Times-Roman" w:hAnsi="Times-Roman"/>
          <w:sz w:val="22"/>
          <w:szCs w:val="22"/>
        </w:rPr>
        <w:t xml:space="preserve">Explore </w:t>
      </w:r>
      <w:r w:rsidR="00457AD5">
        <w:rPr>
          <w:rFonts w:ascii="Times-Roman" w:hAnsi="Times-Roman"/>
          <w:sz w:val="22"/>
          <w:szCs w:val="22"/>
        </w:rPr>
        <w:t>additional international partners, especially for the GSCM major.  Targeted countries: Korea and India.</w:t>
      </w:r>
    </w:p>
    <w:p w:rsidR="00457AD5" w:rsidRDefault="00457AD5" w:rsidP="0024597A">
      <w:pPr>
        <w:pStyle w:val="ListParagraph"/>
        <w:numPr>
          <w:ilvl w:val="0"/>
          <w:numId w:val="5"/>
        </w:numPr>
        <w:autoSpaceDE w:val="0"/>
        <w:autoSpaceDN w:val="0"/>
        <w:adjustRightInd w:val="0"/>
        <w:rPr>
          <w:rFonts w:ascii="Times-Roman" w:hAnsi="Times-Roman"/>
          <w:sz w:val="22"/>
          <w:szCs w:val="22"/>
        </w:rPr>
      </w:pPr>
      <w:r>
        <w:rPr>
          <w:rFonts w:ascii="Times-Roman" w:hAnsi="Times-Roman"/>
          <w:sz w:val="22"/>
          <w:szCs w:val="22"/>
        </w:rPr>
        <w:t>Finalize and receive SUNY System and NYS Education approval for a “Certificate in Supply Chain Management</w:t>
      </w:r>
      <w:r w:rsidR="00FD7822">
        <w:rPr>
          <w:rFonts w:ascii="Times-Roman" w:hAnsi="Times-Roman"/>
          <w:sz w:val="22"/>
          <w:szCs w:val="22"/>
        </w:rPr>
        <w:t>.</w:t>
      </w:r>
      <w:r>
        <w:rPr>
          <w:rFonts w:ascii="Times-Roman" w:hAnsi="Times-Roman"/>
          <w:sz w:val="22"/>
          <w:szCs w:val="22"/>
        </w:rPr>
        <w:t>”</w:t>
      </w:r>
    </w:p>
    <w:p w:rsidR="004B3610" w:rsidRDefault="004B3610" w:rsidP="0024597A">
      <w:pPr>
        <w:pStyle w:val="ListParagraph"/>
        <w:numPr>
          <w:ilvl w:val="0"/>
          <w:numId w:val="5"/>
        </w:numPr>
        <w:autoSpaceDE w:val="0"/>
        <w:autoSpaceDN w:val="0"/>
        <w:adjustRightInd w:val="0"/>
        <w:rPr>
          <w:rFonts w:ascii="Times-Roman" w:hAnsi="Times-Roman"/>
          <w:sz w:val="22"/>
          <w:szCs w:val="22"/>
        </w:rPr>
      </w:pPr>
      <w:r>
        <w:rPr>
          <w:rFonts w:ascii="Times-Roman" w:hAnsi="Times-Roman"/>
          <w:sz w:val="22"/>
          <w:szCs w:val="22"/>
        </w:rPr>
        <w:t>Complete development of a Mobil RFID lab for GSCM majors.  All hardware and software acquired, with expected deployment in September 2011.</w:t>
      </w:r>
    </w:p>
    <w:p w:rsidR="00FD7822" w:rsidRDefault="00FD7822" w:rsidP="00FD7822">
      <w:pPr>
        <w:autoSpaceDE w:val="0"/>
        <w:autoSpaceDN w:val="0"/>
        <w:adjustRightInd w:val="0"/>
        <w:rPr>
          <w:rFonts w:ascii="Times-Roman" w:hAnsi="Times-Roman"/>
          <w:sz w:val="22"/>
          <w:szCs w:val="22"/>
        </w:rPr>
      </w:pPr>
    </w:p>
    <w:p w:rsidR="00FD7822" w:rsidRDefault="00FD7822" w:rsidP="00FD7822">
      <w:pPr>
        <w:autoSpaceDE w:val="0"/>
        <w:autoSpaceDN w:val="0"/>
        <w:adjustRightInd w:val="0"/>
        <w:rPr>
          <w:rFonts w:ascii="Times-Roman" w:hAnsi="Times-Roman"/>
          <w:sz w:val="22"/>
          <w:szCs w:val="22"/>
        </w:rPr>
      </w:pPr>
      <w:r>
        <w:rPr>
          <w:rFonts w:ascii="Times-Roman" w:hAnsi="Times-Roman"/>
          <w:sz w:val="22"/>
          <w:szCs w:val="22"/>
        </w:rPr>
        <w:t>Update on 2010 – 2011 goals:</w:t>
      </w:r>
    </w:p>
    <w:p w:rsidR="004B3610" w:rsidRDefault="004B3610" w:rsidP="004B3610">
      <w:pPr>
        <w:autoSpaceDE w:val="0"/>
        <w:autoSpaceDN w:val="0"/>
        <w:adjustRightInd w:val="0"/>
        <w:rPr>
          <w:rFonts w:ascii="Times-Roman" w:hAnsi="Times-Roman"/>
          <w:sz w:val="22"/>
          <w:szCs w:val="22"/>
        </w:rPr>
      </w:pPr>
    </w:p>
    <w:p w:rsidR="004B3610" w:rsidRPr="00966E4F" w:rsidRDefault="004B3610" w:rsidP="004B3610">
      <w:pPr>
        <w:numPr>
          <w:ilvl w:val="0"/>
          <w:numId w:val="7"/>
        </w:numPr>
        <w:autoSpaceDE w:val="0"/>
        <w:autoSpaceDN w:val="0"/>
        <w:adjustRightInd w:val="0"/>
        <w:rPr>
          <w:rFonts w:ascii="Times-Roman" w:hAnsi="Times-Roman"/>
          <w:sz w:val="22"/>
          <w:szCs w:val="22"/>
        </w:rPr>
      </w:pPr>
      <w:r>
        <w:rPr>
          <w:rFonts w:ascii="Times-Roman" w:hAnsi="Times-Roman"/>
          <w:sz w:val="22"/>
          <w:szCs w:val="22"/>
        </w:rPr>
        <w:t>Extend the department’s level of intellectual contributions.</w:t>
      </w:r>
    </w:p>
    <w:p w:rsidR="004B3610" w:rsidRDefault="004B3610" w:rsidP="004B3610">
      <w:pPr>
        <w:numPr>
          <w:ilvl w:val="1"/>
          <w:numId w:val="7"/>
        </w:numPr>
        <w:autoSpaceDE w:val="0"/>
        <w:autoSpaceDN w:val="0"/>
        <w:adjustRightInd w:val="0"/>
        <w:rPr>
          <w:rFonts w:ascii="Times-Roman" w:hAnsi="Times-Roman"/>
          <w:sz w:val="22"/>
          <w:szCs w:val="22"/>
        </w:rPr>
      </w:pPr>
      <w:r>
        <w:rPr>
          <w:rFonts w:ascii="Times-Roman" w:hAnsi="Times-Roman"/>
          <w:sz w:val="22"/>
          <w:szCs w:val="22"/>
        </w:rPr>
        <w:t>Goal – one AASCB qualified intellectual contribution from each faculty.</w:t>
      </w:r>
    </w:p>
    <w:p w:rsidR="004B3610" w:rsidRDefault="004B3610" w:rsidP="004B3610">
      <w:pPr>
        <w:numPr>
          <w:ilvl w:val="1"/>
          <w:numId w:val="7"/>
        </w:numPr>
        <w:autoSpaceDE w:val="0"/>
        <w:autoSpaceDN w:val="0"/>
        <w:adjustRightInd w:val="0"/>
        <w:rPr>
          <w:rFonts w:ascii="Times-Roman" w:hAnsi="Times-Roman"/>
          <w:sz w:val="22"/>
          <w:szCs w:val="22"/>
        </w:rPr>
      </w:pPr>
      <w:r w:rsidRPr="004B3610">
        <w:rPr>
          <w:rFonts w:ascii="Times-Roman" w:hAnsi="Times-Roman"/>
          <w:b/>
          <w:sz w:val="22"/>
          <w:szCs w:val="22"/>
        </w:rPr>
        <w:t>Result</w:t>
      </w:r>
      <w:r>
        <w:rPr>
          <w:rFonts w:ascii="Times-Roman" w:hAnsi="Times-Roman"/>
          <w:sz w:val="22"/>
          <w:szCs w:val="22"/>
        </w:rPr>
        <w:t xml:space="preserve"> – Successful – Each AQ faculty member generated a minimum of one AACSB qualified IC (for Dr. Strang, this was significantly higher).</w:t>
      </w:r>
    </w:p>
    <w:p w:rsidR="004B3610" w:rsidRDefault="004B3610" w:rsidP="004B3610">
      <w:pPr>
        <w:numPr>
          <w:ilvl w:val="0"/>
          <w:numId w:val="7"/>
        </w:numPr>
        <w:autoSpaceDE w:val="0"/>
        <w:autoSpaceDN w:val="0"/>
        <w:adjustRightInd w:val="0"/>
        <w:rPr>
          <w:rFonts w:ascii="Times-Roman" w:hAnsi="Times-Roman"/>
          <w:sz w:val="22"/>
          <w:szCs w:val="22"/>
        </w:rPr>
      </w:pPr>
      <w:r>
        <w:rPr>
          <w:rFonts w:ascii="Times-Roman" w:hAnsi="Times-Roman"/>
          <w:sz w:val="22"/>
          <w:szCs w:val="22"/>
        </w:rPr>
        <w:t>Increase the number of Global Supply Chain Management students.</w:t>
      </w:r>
    </w:p>
    <w:p w:rsidR="004B3610" w:rsidRDefault="004B3610" w:rsidP="004B3610">
      <w:pPr>
        <w:numPr>
          <w:ilvl w:val="1"/>
          <w:numId w:val="7"/>
        </w:numPr>
        <w:autoSpaceDE w:val="0"/>
        <w:autoSpaceDN w:val="0"/>
        <w:adjustRightInd w:val="0"/>
        <w:rPr>
          <w:rFonts w:ascii="Times-Roman" w:hAnsi="Times-Roman"/>
          <w:sz w:val="22"/>
          <w:szCs w:val="22"/>
        </w:rPr>
      </w:pPr>
      <w:r w:rsidRPr="004B3610">
        <w:rPr>
          <w:rFonts w:ascii="Times-Roman" w:hAnsi="Times-Roman"/>
          <w:b/>
          <w:sz w:val="22"/>
          <w:szCs w:val="22"/>
        </w:rPr>
        <w:t>Result</w:t>
      </w:r>
      <w:r>
        <w:rPr>
          <w:rFonts w:ascii="Times-Roman" w:hAnsi="Times-Roman"/>
          <w:sz w:val="22"/>
          <w:szCs w:val="22"/>
        </w:rPr>
        <w:t xml:space="preserve"> – 19 paid deposits as of June 9.  This is up from 2 same </w:t>
      </w:r>
      <w:proofErr w:type="gramStart"/>
      <w:r>
        <w:rPr>
          <w:rFonts w:ascii="Times-Roman" w:hAnsi="Times-Roman"/>
          <w:sz w:val="22"/>
          <w:szCs w:val="22"/>
        </w:rPr>
        <w:t>time</w:t>
      </w:r>
      <w:proofErr w:type="gramEnd"/>
      <w:r>
        <w:rPr>
          <w:rFonts w:ascii="Times-Roman" w:hAnsi="Times-Roman"/>
          <w:sz w:val="22"/>
          <w:szCs w:val="22"/>
        </w:rPr>
        <w:t xml:space="preserve"> June 9 2010.  Of these, 14 are coming as transfer students from </w:t>
      </w:r>
      <w:proofErr w:type="spellStart"/>
      <w:r>
        <w:rPr>
          <w:rFonts w:ascii="Times-Roman" w:hAnsi="Times-Roman"/>
          <w:sz w:val="22"/>
          <w:szCs w:val="22"/>
        </w:rPr>
        <w:t>Wanli</w:t>
      </w:r>
      <w:proofErr w:type="spellEnd"/>
      <w:r>
        <w:rPr>
          <w:rFonts w:ascii="Times-Roman" w:hAnsi="Times-Roman"/>
          <w:sz w:val="22"/>
          <w:szCs w:val="22"/>
        </w:rPr>
        <w:t xml:space="preserve"> University.  Domestic majors up 250% from 2 to 5.  This is a most welcome sign.</w:t>
      </w:r>
    </w:p>
    <w:p w:rsidR="004B3610" w:rsidRDefault="004B3610" w:rsidP="004B3610">
      <w:pPr>
        <w:numPr>
          <w:ilvl w:val="0"/>
          <w:numId w:val="7"/>
        </w:numPr>
        <w:autoSpaceDE w:val="0"/>
        <w:autoSpaceDN w:val="0"/>
        <w:adjustRightInd w:val="0"/>
        <w:rPr>
          <w:rFonts w:ascii="Times-Roman" w:hAnsi="Times-Roman"/>
          <w:sz w:val="22"/>
          <w:szCs w:val="22"/>
        </w:rPr>
      </w:pPr>
      <w:r>
        <w:rPr>
          <w:rFonts w:ascii="Times-Roman" w:hAnsi="Times-Roman"/>
          <w:sz w:val="22"/>
          <w:szCs w:val="22"/>
        </w:rPr>
        <w:lastRenderedPageBreak/>
        <w:t>Develop a “Certificate in Supply Chain Management,” to be offered at both the Main and SUNY Plattsburgh at Queensbury campuses.</w:t>
      </w:r>
    </w:p>
    <w:p w:rsidR="004B3610" w:rsidRDefault="004B3610" w:rsidP="004B3610">
      <w:pPr>
        <w:numPr>
          <w:ilvl w:val="1"/>
          <w:numId w:val="7"/>
        </w:numPr>
        <w:autoSpaceDE w:val="0"/>
        <w:autoSpaceDN w:val="0"/>
        <w:adjustRightInd w:val="0"/>
        <w:rPr>
          <w:rFonts w:ascii="Times-Roman" w:hAnsi="Times-Roman"/>
          <w:sz w:val="22"/>
          <w:szCs w:val="22"/>
        </w:rPr>
      </w:pPr>
      <w:r w:rsidRPr="004B3610">
        <w:rPr>
          <w:rFonts w:ascii="Times-Roman" w:hAnsi="Times-Roman"/>
          <w:b/>
          <w:sz w:val="22"/>
          <w:szCs w:val="22"/>
        </w:rPr>
        <w:t>Result</w:t>
      </w:r>
      <w:r>
        <w:rPr>
          <w:rFonts w:ascii="Times-Roman" w:hAnsi="Times-Roman"/>
          <w:sz w:val="22"/>
          <w:szCs w:val="22"/>
        </w:rPr>
        <w:t xml:space="preserve"> – Expected submission date September 15</w:t>
      </w:r>
      <w:r w:rsidRPr="004B3610">
        <w:rPr>
          <w:rFonts w:ascii="Times-Roman" w:hAnsi="Times-Roman"/>
          <w:sz w:val="22"/>
          <w:szCs w:val="22"/>
          <w:vertAlign w:val="superscript"/>
        </w:rPr>
        <w:t>th</w:t>
      </w:r>
      <w:r>
        <w:rPr>
          <w:rFonts w:ascii="Times-Roman" w:hAnsi="Times-Roman"/>
          <w:sz w:val="22"/>
          <w:szCs w:val="22"/>
        </w:rPr>
        <w:t xml:space="preserve"> 2011.</w:t>
      </w:r>
    </w:p>
    <w:p w:rsidR="004B3610" w:rsidRPr="0091104C" w:rsidRDefault="004B3610" w:rsidP="004B3610">
      <w:pPr>
        <w:numPr>
          <w:ilvl w:val="0"/>
          <w:numId w:val="7"/>
        </w:numPr>
        <w:autoSpaceDE w:val="0"/>
        <w:autoSpaceDN w:val="0"/>
        <w:adjustRightInd w:val="0"/>
        <w:rPr>
          <w:rFonts w:ascii="TimesNewRoman" w:hAnsi="TimesNewRoman" w:cs="TimesNewRoman"/>
        </w:rPr>
      </w:pPr>
      <w:r>
        <w:t>Increase giving to the College Foundation specifically earmarked for the department’s two majors.</w:t>
      </w:r>
    </w:p>
    <w:p w:rsidR="004B3610" w:rsidRDefault="004B3610" w:rsidP="006005EC">
      <w:pPr>
        <w:numPr>
          <w:ilvl w:val="1"/>
          <w:numId w:val="7"/>
        </w:numPr>
        <w:autoSpaceDE w:val="0"/>
        <w:autoSpaceDN w:val="0"/>
        <w:adjustRightInd w:val="0"/>
        <w:rPr>
          <w:rFonts w:ascii="TimesNewRoman" w:hAnsi="TimesNewRoman" w:cs="TimesNewRoman"/>
        </w:rPr>
      </w:pPr>
      <w:r>
        <w:rPr>
          <w:rFonts w:ascii="TimesNewRoman" w:hAnsi="TimesNewRoman" w:cs="TimesNewRoman"/>
        </w:rPr>
        <w:t>Working in strict concert with the College Foundation, identify potential donors and develop appropriate “asks.” (This goal was not met last year).</w:t>
      </w:r>
    </w:p>
    <w:p w:rsidR="004B3610" w:rsidRPr="004B3610" w:rsidRDefault="004B3610" w:rsidP="006005EC">
      <w:pPr>
        <w:numPr>
          <w:ilvl w:val="1"/>
          <w:numId w:val="2"/>
        </w:numPr>
        <w:autoSpaceDE w:val="0"/>
        <w:autoSpaceDN w:val="0"/>
        <w:adjustRightInd w:val="0"/>
        <w:rPr>
          <w:rFonts w:ascii="Times-Roman" w:hAnsi="Times-Roman"/>
          <w:sz w:val="22"/>
          <w:szCs w:val="22"/>
        </w:rPr>
      </w:pPr>
      <w:r w:rsidRPr="004B3610">
        <w:rPr>
          <w:rFonts w:ascii="TimesNewRoman" w:hAnsi="TimesNewRoman" w:cs="TimesNewRoman"/>
          <w:b/>
        </w:rPr>
        <w:t>Result</w:t>
      </w:r>
      <w:r>
        <w:rPr>
          <w:rFonts w:ascii="TimesNewRoman" w:hAnsi="TimesNewRoman" w:cs="TimesNewRoman"/>
        </w:rPr>
        <w:t xml:space="preserve"> - </w:t>
      </w:r>
      <w:r>
        <w:rPr>
          <w:rFonts w:ascii="Times-Roman" w:hAnsi="Times-Roman"/>
          <w:sz w:val="22"/>
          <w:szCs w:val="22"/>
        </w:rPr>
        <w:t xml:space="preserve">Working with Institutional Advancement, developed two $2,500 scholarships – one for business majors and one for Global Supply Chain Management majors – Donor – The Northeast Group. Agreement is for two years with a re-evaluation during 2011-2012 academic </w:t>
      </w:r>
      <w:proofErr w:type="gramStart"/>
      <w:r>
        <w:rPr>
          <w:rFonts w:ascii="Times-Roman" w:hAnsi="Times-Roman"/>
          <w:sz w:val="22"/>
          <w:szCs w:val="22"/>
        </w:rPr>
        <w:t>year</w:t>
      </w:r>
      <w:proofErr w:type="gramEnd"/>
      <w:r>
        <w:rPr>
          <w:rFonts w:ascii="Times-Roman" w:hAnsi="Times-Roman"/>
          <w:sz w:val="22"/>
          <w:szCs w:val="22"/>
        </w:rPr>
        <w:t>.</w:t>
      </w:r>
    </w:p>
    <w:p w:rsidR="004B3610" w:rsidRPr="006005EC" w:rsidRDefault="004B3610" w:rsidP="006005EC">
      <w:pPr>
        <w:numPr>
          <w:ilvl w:val="0"/>
          <w:numId w:val="7"/>
        </w:numPr>
        <w:autoSpaceDE w:val="0"/>
        <w:autoSpaceDN w:val="0"/>
        <w:adjustRightInd w:val="0"/>
        <w:rPr>
          <w:rFonts w:ascii="TimesNewRoman" w:hAnsi="TimesNewRoman" w:cs="TimesNewRoman"/>
        </w:rPr>
      </w:pPr>
      <w:r w:rsidRPr="006005EC">
        <w:rPr>
          <w:rFonts w:ascii="TimesNewRoman" w:hAnsi="TimesNewRoman" w:cs="TimesNewRoman"/>
        </w:rPr>
        <w:t>Initiate a Supply Chain Management honor society.</w:t>
      </w:r>
    </w:p>
    <w:p w:rsidR="004B3610" w:rsidRDefault="004B3610" w:rsidP="004B3610">
      <w:pPr>
        <w:numPr>
          <w:ilvl w:val="1"/>
          <w:numId w:val="7"/>
        </w:numPr>
        <w:autoSpaceDE w:val="0"/>
        <w:autoSpaceDN w:val="0"/>
        <w:adjustRightInd w:val="0"/>
        <w:rPr>
          <w:rFonts w:ascii="TimesNewRoman" w:hAnsi="TimesNewRoman" w:cs="TimesNewRoman"/>
        </w:rPr>
      </w:pPr>
      <w:r w:rsidRPr="006005EC">
        <w:rPr>
          <w:rFonts w:ascii="TimesNewRoman" w:hAnsi="TimesNewRoman" w:cs="TimesNewRoman"/>
          <w:b/>
        </w:rPr>
        <w:t>Result</w:t>
      </w:r>
      <w:r w:rsidRPr="006005EC">
        <w:rPr>
          <w:rFonts w:ascii="TimesNewRoman" w:hAnsi="TimesNewRoman" w:cs="TimesNewRoman"/>
        </w:rPr>
        <w:t xml:space="preserve"> – process ongoing</w:t>
      </w:r>
    </w:p>
    <w:p w:rsidR="004B3610" w:rsidRDefault="004B3610" w:rsidP="004B3610">
      <w:pPr>
        <w:numPr>
          <w:ilvl w:val="0"/>
          <w:numId w:val="7"/>
        </w:numPr>
        <w:autoSpaceDE w:val="0"/>
        <w:autoSpaceDN w:val="0"/>
        <w:adjustRightInd w:val="0"/>
        <w:rPr>
          <w:rFonts w:ascii="TimesNewRoman" w:hAnsi="TimesNewRoman" w:cs="TimesNewRoman"/>
        </w:rPr>
      </w:pPr>
      <w:r>
        <w:rPr>
          <w:rFonts w:ascii="TimesNewRoman" w:hAnsi="TimesNewRoman" w:cs="TimesNewRoman"/>
        </w:rPr>
        <w:t>As an SAP alliance member, more actively engage the information technology aspect of our supply chain curriculum (this process is continuing).</w:t>
      </w:r>
    </w:p>
    <w:p w:rsidR="004B3610" w:rsidRDefault="004B3610" w:rsidP="004B3610">
      <w:pPr>
        <w:numPr>
          <w:ilvl w:val="1"/>
          <w:numId w:val="7"/>
        </w:numPr>
        <w:autoSpaceDE w:val="0"/>
        <w:autoSpaceDN w:val="0"/>
        <w:adjustRightInd w:val="0"/>
        <w:rPr>
          <w:rFonts w:ascii="TimesNewRoman" w:hAnsi="TimesNewRoman" w:cs="TimesNewRoman"/>
        </w:rPr>
      </w:pPr>
      <w:r>
        <w:rPr>
          <w:rFonts w:ascii="TimesNewRoman" w:hAnsi="TimesNewRoman" w:cs="TimesNewRoman"/>
        </w:rPr>
        <w:t>More completely embed SAP components into the GSCM curriculum. - ongoing</w:t>
      </w:r>
    </w:p>
    <w:p w:rsidR="004B3610" w:rsidRDefault="004B3610" w:rsidP="004B3610">
      <w:pPr>
        <w:numPr>
          <w:ilvl w:val="1"/>
          <w:numId w:val="7"/>
        </w:numPr>
        <w:autoSpaceDE w:val="0"/>
        <w:autoSpaceDN w:val="0"/>
        <w:adjustRightInd w:val="0"/>
        <w:rPr>
          <w:rFonts w:ascii="TimesNewRoman" w:hAnsi="TimesNewRoman" w:cs="TimesNewRoman"/>
        </w:rPr>
      </w:pPr>
      <w:r>
        <w:rPr>
          <w:rFonts w:ascii="TimesNewRoman" w:hAnsi="TimesNewRoman" w:cs="TimesNewRoman"/>
        </w:rPr>
        <w:t>Working with other departments, embed SAP components into their curriculum.</w:t>
      </w:r>
    </w:p>
    <w:p w:rsidR="004B3610" w:rsidRPr="003A4010" w:rsidRDefault="004B3610" w:rsidP="004B3610">
      <w:pPr>
        <w:numPr>
          <w:ilvl w:val="1"/>
          <w:numId w:val="7"/>
        </w:numPr>
        <w:autoSpaceDE w:val="0"/>
        <w:autoSpaceDN w:val="0"/>
        <w:adjustRightInd w:val="0"/>
        <w:rPr>
          <w:rFonts w:ascii="TimesNewRoman" w:hAnsi="TimesNewRoman" w:cs="TimesNewRoman"/>
        </w:rPr>
      </w:pPr>
      <w:r w:rsidRPr="006005EC">
        <w:rPr>
          <w:rFonts w:ascii="TimesNewRoman" w:hAnsi="TimesNewRoman" w:cs="TimesNewRoman"/>
          <w:b/>
        </w:rPr>
        <w:t>Result</w:t>
      </w:r>
      <w:r>
        <w:rPr>
          <w:rFonts w:ascii="TimesNewRoman" w:hAnsi="TimesNewRoman" w:cs="TimesNewRoman"/>
        </w:rPr>
        <w:t xml:space="preserve"> – MIS department utilizing some aspects of SAP in their ERP course.  Departmental efforts to embed SAP ongoing.</w:t>
      </w:r>
    </w:p>
    <w:p w:rsidR="00FD7822" w:rsidRPr="00FD7822" w:rsidRDefault="00FD7822" w:rsidP="00FD7822">
      <w:pPr>
        <w:autoSpaceDE w:val="0"/>
        <w:autoSpaceDN w:val="0"/>
        <w:adjustRightInd w:val="0"/>
        <w:rPr>
          <w:rFonts w:ascii="Times-Roman" w:hAnsi="Times-Roman"/>
          <w:sz w:val="22"/>
          <w:szCs w:val="22"/>
        </w:rPr>
      </w:pPr>
    </w:p>
    <w:p w:rsidR="00C66100" w:rsidRPr="001A5AD2" w:rsidRDefault="00C66100">
      <w:pPr>
        <w:autoSpaceDE w:val="0"/>
        <w:autoSpaceDN w:val="0"/>
        <w:adjustRightInd w:val="0"/>
        <w:rPr>
          <w:rFonts w:ascii="Times-Roman" w:hAnsi="Times-Roman"/>
          <w:sz w:val="22"/>
          <w:szCs w:val="22"/>
        </w:rPr>
      </w:pPr>
    </w:p>
    <w:p w:rsidR="008F4437" w:rsidRDefault="00C66100" w:rsidP="009433E1">
      <w:pPr>
        <w:autoSpaceDE w:val="0"/>
        <w:autoSpaceDN w:val="0"/>
        <w:adjustRightInd w:val="0"/>
        <w:rPr>
          <w:rFonts w:ascii="Times-Roman" w:hAnsi="Times-Roman"/>
          <w:sz w:val="22"/>
          <w:szCs w:val="22"/>
        </w:rPr>
      </w:pPr>
      <w:r w:rsidRPr="001A5AD2">
        <w:rPr>
          <w:rFonts w:ascii="Times-Roman" w:hAnsi="Times-Roman"/>
          <w:sz w:val="22"/>
          <w:szCs w:val="22"/>
        </w:rPr>
        <w:t xml:space="preserve">3. What </w:t>
      </w:r>
      <w:r w:rsidR="009433E1">
        <w:rPr>
          <w:rFonts w:ascii="Times-Roman" w:hAnsi="Times-Roman"/>
          <w:sz w:val="22"/>
          <w:szCs w:val="22"/>
        </w:rPr>
        <w:t xml:space="preserve">suggestions do you have for reducing the college’s fiscal deficit through efficiencies and/or revenue enhancement in your own and other areas? </w:t>
      </w:r>
      <w:r w:rsidR="00C41FC6">
        <w:rPr>
          <w:rFonts w:ascii="Times-Roman" w:hAnsi="Times-Roman"/>
          <w:sz w:val="22"/>
          <w:szCs w:val="22"/>
        </w:rPr>
        <w:t xml:space="preserve">  </w:t>
      </w:r>
      <w:r w:rsidR="00C41FC6" w:rsidRPr="00C41FC6">
        <w:rPr>
          <w:rFonts w:ascii="Times-Roman" w:hAnsi="Times-Roman"/>
          <w:sz w:val="22"/>
          <w:szCs w:val="22"/>
          <w:highlight w:val="yellow"/>
        </w:rPr>
        <w:t>(</w:t>
      </w:r>
      <w:proofErr w:type="gramStart"/>
      <w:r w:rsidR="00C41FC6" w:rsidRPr="00C41FC6">
        <w:rPr>
          <w:rFonts w:ascii="Times-Roman" w:hAnsi="Times-Roman"/>
          <w:sz w:val="22"/>
          <w:szCs w:val="22"/>
          <w:highlight w:val="yellow"/>
        </w:rPr>
        <w:t>removed</w:t>
      </w:r>
      <w:proofErr w:type="gramEnd"/>
      <w:r w:rsidR="00C41FC6">
        <w:rPr>
          <w:rFonts w:ascii="Times-Roman" w:hAnsi="Times-Roman"/>
          <w:sz w:val="22"/>
          <w:szCs w:val="22"/>
          <w:highlight w:val="yellow"/>
        </w:rPr>
        <w:t>:</w:t>
      </w:r>
      <w:r w:rsidR="00C41FC6" w:rsidRPr="00C41FC6">
        <w:rPr>
          <w:rFonts w:ascii="Times-Roman" w:hAnsi="Times-Roman"/>
          <w:sz w:val="22"/>
          <w:szCs w:val="22"/>
          <w:highlight w:val="yellow"/>
        </w:rPr>
        <w:t xml:space="preserve"> elimination of programs or services)</w:t>
      </w:r>
    </w:p>
    <w:p w:rsidR="0024597A" w:rsidRDefault="0024597A" w:rsidP="0024597A">
      <w:pPr>
        <w:pStyle w:val="ListParagraph"/>
        <w:numPr>
          <w:ilvl w:val="0"/>
          <w:numId w:val="6"/>
        </w:numPr>
        <w:autoSpaceDE w:val="0"/>
        <w:autoSpaceDN w:val="0"/>
        <w:adjustRightInd w:val="0"/>
        <w:rPr>
          <w:rFonts w:ascii="Times-Roman" w:hAnsi="Times-Roman"/>
          <w:sz w:val="22"/>
          <w:szCs w:val="22"/>
        </w:rPr>
      </w:pPr>
      <w:r>
        <w:rPr>
          <w:rFonts w:ascii="Times-Roman" w:hAnsi="Times-Roman"/>
          <w:sz w:val="22"/>
          <w:szCs w:val="22"/>
        </w:rPr>
        <w:t xml:space="preserve">For the 2011 summer sessions, BSCM </w:t>
      </w:r>
      <w:proofErr w:type="gramStart"/>
      <w:r>
        <w:rPr>
          <w:rFonts w:ascii="Times-Roman" w:hAnsi="Times-Roman"/>
          <w:sz w:val="22"/>
          <w:szCs w:val="22"/>
        </w:rPr>
        <w:t>faculty are</w:t>
      </w:r>
      <w:proofErr w:type="gramEnd"/>
      <w:r>
        <w:rPr>
          <w:rFonts w:ascii="Times-Roman" w:hAnsi="Times-Roman"/>
          <w:sz w:val="22"/>
          <w:szCs w:val="22"/>
        </w:rPr>
        <w:t xml:space="preserve"> delivering 4 courses and two internships for a total summer enrollment of 58 students and $36,018 in tuition revenue (@</w:t>
      </w:r>
      <w:r w:rsidR="005837E3">
        <w:rPr>
          <w:rFonts w:ascii="Times-Roman" w:hAnsi="Times-Roman"/>
          <w:sz w:val="22"/>
          <w:szCs w:val="22"/>
        </w:rPr>
        <w:t xml:space="preserve"> </w:t>
      </w:r>
      <w:r>
        <w:rPr>
          <w:rFonts w:ascii="Times-Roman" w:hAnsi="Times-Roman"/>
          <w:sz w:val="22"/>
          <w:szCs w:val="22"/>
        </w:rPr>
        <w:t>$621/3 credit course).  This equates to a net revenue (taking out compensation at the max for all 4 courses) of $24,418 or the equivalent of ½ position at the college.</w:t>
      </w:r>
    </w:p>
    <w:p w:rsidR="0024597A" w:rsidRDefault="0024597A" w:rsidP="0024597A">
      <w:pPr>
        <w:pStyle w:val="ListParagraph"/>
        <w:numPr>
          <w:ilvl w:val="0"/>
          <w:numId w:val="6"/>
        </w:numPr>
        <w:autoSpaceDE w:val="0"/>
        <w:autoSpaceDN w:val="0"/>
        <w:adjustRightInd w:val="0"/>
        <w:rPr>
          <w:rFonts w:ascii="Times-Roman" w:hAnsi="Times-Roman"/>
          <w:sz w:val="22"/>
          <w:szCs w:val="22"/>
        </w:rPr>
      </w:pPr>
      <w:r>
        <w:rPr>
          <w:rFonts w:ascii="Times-Roman" w:hAnsi="Times-Roman"/>
          <w:sz w:val="22"/>
          <w:szCs w:val="22"/>
        </w:rPr>
        <w:t xml:space="preserve">For the 2011-2012 academic </w:t>
      </w:r>
      <w:proofErr w:type="gramStart"/>
      <w:r>
        <w:rPr>
          <w:rFonts w:ascii="Times-Roman" w:hAnsi="Times-Roman"/>
          <w:sz w:val="22"/>
          <w:szCs w:val="22"/>
        </w:rPr>
        <w:t>year</w:t>
      </w:r>
      <w:proofErr w:type="gramEnd"/>
      <w:r>
        <w:rPr>
          <w:rFonts w:ascii="Times-Roman" w:hAnsi="Times-Roman"/>
          <w:sz w:val="22"/>
          <w:szCs w:val="22"/>
        </w:rPr>
        <w:t xml:space="preserve">, 14 international students from </w:t>
      </w:r>
      <w:proofErr w:type="spellStart"/>
      <w:r>
        <w:rPr>
          <w:rFonts w:ascii="Times-Roman" w:hAnsi="Times-Roman"/>
          <w:sz w:val="22"/>
          <w:szCs w:val="22"/>
        </w:rPr>
        <w:t>Wanli</w:t>
      </w:r>
      <w:proofErr w:type="spellEnd"/>
      <w:r>
        <w:rPr>
          <w:rFonts w:ascii="Times-Roman" w:hAnsi="Times-Roman"/>
          <w:sz w:val="22"/>
          <w:szCs w:val="22"/>
        </w:rPr>
        <w:t xml:space="preserve"> University will begin their Global Supply Chain Management major</w:t>
      </w:r>
      <w:r w:rsidR="005837E3">
        <w:rPr>
          <w:rFonts w:ascii="Times-Roman" w:hAnsi="Times-Roman"/>
          <w:sz w:val="22"/>
          <w:szCs w:val="22"/>
        </w:rPr>
        <w:t xml:space="preserve"> (as junior transfers)</w:t>
      </w:r>
      <w:r>
        <w:rPr>
          <w:rFonts w:ascii="Times-Roman" w:hAnsi="Times-Roman"/>
          <w:sz w:val="22"/>
          <w:szCs w:val="22"/>
        </w:rPr>
        <w:t xml:space="preserve">.  Each subsequent fall the GSCM major can expect an additional 15 students.  So, beginning in </w:t>
      </w:r>
      <w:proofErr w:type="gramStart"/>
      <w:r>
        <w:rPr>
          <w:rFonts w:ascii="Times-Roman" w:hAnsi="Times-Roman"/>
          <w:sz w:val="22"/>
          <w:szCs w:val="22"/>
        </w:rPr>
        <w:t>Fall</w:t>
      </w:r>
      <w:proofErr w:type="gramEnd"/>
      <w:r>
        <w:rPr>
          <w:rFonts w:ascii="Times-Roman" w:hAnsi="Times-Roman"/>
          <w:sz w:val="22"/>
          <w:szCs w:val="22"/>
        </w:rPr>
        <w:t xml:space="preserve"> 2012 and thereafter, at any one time, the GSCM major will have 30-40 </w:t>
      </w:r>
      <w:proofErr w:type="spellStart"/>
      <w:r>
        <w:rPr>
          <w:rFonts w:ascii="Times-Roman" w:hAnsi="Times-Roman"/>
          <w:sz w:val="22"/>
          <w:szCs w:val="22"/>
        </w:rPr>
        <w:t>Wanli</w:t>
      </w:r>
      <w:proofErr w:type="spellEnd"/>
      <w:r>
        <w:rPr>
          <w:rFonts w:ascii="Times-Roman" w:hAnsi="Times-Roman"/>
          <w:sz w:val="22"/>
          <w:szCs w:val="22"/>
        </w:rPr>
        <w:t xml:space="preserve"> students.</w:t>
      </w:r>
    </w:p>
    <w:p w:rsidR="0024597A" w:rsidRDefault="0024597A" w:rsidP="0024597A">
      <w:pPr>
        <w:pStyle w:val="ListParagraph"/>
        <w:numPr>
          <w:ilvl w:val="1"/>
          <w:numId w:val="6"/>
        </w:numPr>
        <w:autoSpaceDE w:val="0"/>
        <w:autoSpaceDN w:val="0"/>
        <w:adjustRightInd w:val="0"/>
        <w:rPr>
          <w:rFonts w:ascii="Times-Roman" w:hAnsi="Times-Roman"/>
          <w:sz w:val="22"/>
          <w:szCs w:val="22"/>
        </w:rPr>
      </w:pPr>
      <w:r>
        <w:rPr>
          <w:rFonts w:ascii="Times-Roman" w:hAnsi="Times-Roman"/>
          <w:sz w:val="22"/>
          <w:szCs w:val="22"/>
        </w:rPr>
        <w:t xml:space="preserve">For 2011- 2012 - 14 </w:t>
      </w:r>
      <w:proofErr w:type="spellStart"/>
      <w:r>
        <w:rPr>
          <w:rFonts w:ascii="Times-Roman" w:hAnsi="Times-Roman"/>
          <w:sz w:val="22"/>
          <w:szCs w:val="22"/>
        </w:rPr>
        <w:t>Wanli</w:t>
      </w:r>
      <w:proofErr w:type="spellEnd"/>
      <w:r>
        <w:rPr>
          <w:rFonts w:ascii="Times-Roman" w:hAnsi="Times-Roman"/>
          <w:sz w:val="22"/>
          <w:szCs w:val="22"/>
        </w:rPr>
        <w:t xml:space="preserve"> students times $13,380 /student tuition / year = $187,320 total revenue (less, of course, any international tuition deals</w:t>
      </w:r>
      <w:r w:rsidR="003A0C19">
        <w:rPr>
          <w:rFonts w:ascii="Times-Roman" w:hAnsi="Times-Roman"/>
          <w:sz w:val="22"/>
          <w:szCs w:val="22"/>
        </w:rPr>
        <w:t xml:space="preserve">, but before mandatory fees and any residential revenues), generated through our </w:t>
      </w:r>
      <w:proofErr w:type="spellStart"/>
      <w:r w:rsidR="003A0C19">
        <w:rPr>
          <w:rFonts w:ascii="Times-Roman" w:hAnsi="Times-Roman"/>
          <w:sz w:val="22"/>
          <w:szCs w:val="22"/>
        </w:rPr>
        <w:t>Wanli</w:t>
      </w:r>
      <w:proofErr w:type="spellEnd"/>
      <w:r w:rsidR="003A0C19">
        <w:rPr>
          <w:rFonts w:ascii="Times-Roman" w:hAnsi="Times-Roman"/>
          <w:sz w:val="22"/>
          <w:szCs w:val="22"/>
        </w:rPr>
        <w:t xml:space="preserve"> / SUNY Plattsburgh SBE Global Supply Chain Management articulation agreement.</w:t>
      </w:r>
    </w:p>
    <w:p w:rsidR="003A0C19" w:rsidRDefault="003A0C19" w:rsidP="0024597A">
      <w:pPr>
        <w:pStyle w:val="ListParagraph"/>
        <w:numPr>
          <w:ilvl w:val="1"/>
          <w:numId w:val="6"/>
        </w:numPr>
        <w:autoSpaceDE w:val="0"/>
        <w:autoSpaceDN w:val="0"/>
        <w:adjustRightInd w:val="0"/>
        <w:rPr>
          <w:rFonts w:ascii="Times-Roman" w:hAnsi="Times-Roman"/>
          <w:sz w:val="22"/>
          <w:szCs w:val="22"/>
        </w:rPr>
      </w:pPr>
      <w:r>
        <w:rPr>
          <w:rFonts w:ascii="Times-Roman" w:hAnsi="Times-Roman"/>
          <w:sz w:val="22"/>
          <w:szCs w:val="22"/>
        </w:rPr>
        <w:t xml:space="preserve">For 2012 -2013 and beyond – assume 30 total </w:t>
      </w:r>
      <w:proofErr w:type="spellStart"/>
      <w:r>
        <w:rPr>
          <w:rFonts w:ascii="Times-Roman" w:hAnsi="Times-Roman"/>
          <w:sz w:val="22"/>
          <w:szCs w:val="22"/>
        </w:rPr>
        <w:t>Wanli</w:t>
      </w:r>
      <w:proofErr w:type="spellEnd"/>
      <w:r>
        <w:rPr>
          <w:rFonts w:ascii="Times-Roman" w:hAnsi="Times-Roman"/>
          <w:sz w:val="22"/>
          <w:szCs w:val="22"/>
        </w:rPr>
        <w:t xml:space="preserve"> students times $13,380 /student tuition/year = $401,400 (less international tuition deals, but before mandatory fees and any residential revenue) generated through our </w:t>
      </w:r>
      <w:proofErr w:type="spellStart"/>
      <w:r>
        <w:rPr>
          <w:rFonts w:ascii="Times-Roman" w:hAnsi="Times-Roman"/>
          <w:sz w:val="22"/>
          <w:szCs w:val="22"/>
        </w:rPr>
        <w:t>Wanli</w:t>
      </w:r>
      <w:proofErr w:type="spellEnd"/>
      <w:r>
        <w:rPr>
          <w:rFonts w:ascii="Times-Roman" w:hAnsi="Times-Roman"/>
          <w:sz w:val="22"/>
          <w:szCs w:val="22"/>
        </w:rPr>
        <w:t xml:space="preserve"> / SUNY Plattsburgh SBE Global Supply Chain Management articulation agreement.</w:t>
      </w:r>
    </w:p>
    <w:p w:rsidR="003A0C19" w:rsidRDefault="003A0C19" w:rsidP="0024597A">
      <w:pPr>
        <w:pStyle w:val="ListParagraph"/>
        <w:numPr>
          <w:ilvl w:val="1"/>
          <w:numId w:val="6"/>
        </w:numPr>
        <w:autoSpaceDE w:val="0"/>
        <w:autoSpaceDN w:val="0"/>
        <w:adjustRightInd w:val="0"/>
        <w:rPr>
          <w:rFonts w:ascii="Times-Roman" w:hAnsi="Times-Roman"/>
          <w:sz w:val="22"/>
          <w:szCs w:val="22"/>
        </w:rPr>
      </w:pPr>
      <w:r>
        <w:rPr>
          <w:rFonts w:ascii="Times-Roman" w:hAnsi="Times-Roman"/>
          <w:sz w:val="22"/>
          <w:szCs w:val="22"/>
        </w:rPr>
        <w:t xml:space="preserve">For the SBE, the additional </w:t>
      </w:r>
      <w:proofErr w:type="spellStart"/>
      <w:r>
        <w:rPr>
          <w:rFonts w:ascii="Times-Roman" w:hAnsi="Times-Roman"/>
          <w:sz w:val="22"/>
          <w:szCs w:val="22"/>
        </w:rPr>
        <w:t>Wanli</w:t>
      </w:r>
      <w:proofErr w:type="spellEnd"/>
      <w:r>
        <w:rPr>
          <w:rFonts w:ascii="Times-Roman" w:hAnsi="Times-Roman"/>
          <w:sz w:val="22"/>
          <w:szCs w:val="22"/>
        </w:rPr>
        <w:t xml:space="preserve"> students who will come as majors in accounting, international business, business administration, and management information systems through the </w:t>
      </w:r>
      <w:proofErr w:type="spellStart"/>
      <w:r>
        <w:rPr>
          <w:rFonts w:ascii="Times-Roman" w:hAnsi="Times-Roman"/>
          <w:sz w:val="22"/>
          <w:szCs w:val="22"/>
        </w:rPr>
        <w:t>Wanli</w:t>
      </w:r>
      <w:proofErr w:type="spellEnd"/>
      <w:r>
        <w:rPr>
          <w:rFonts w:ascii="Times-Roman" w:hAnsi="Times-Roman"/>
          <w:sz w:val="22"/>
          <w:szCs w:val="22"/>
        </w:rPr>
        <w:t xml:space="preserve"> agreement represents significant additional revenue for the college.</w:t>
      </w:r>
    </w:p>
    <w:p w:rsidR="00054A11" w:rsidRDefault="00BC6F77" w:rsidP="009433E1">
      <w:pPr>
        <w:pStyle w:val="ListParagraph"/>
        <w:numPr>
          <w:ilvl w:val="1"/>
          <w:numId w:val="6"/>
        </w:numPr>
        <w:autoSpaceDE w:val="0"/>
        <w:autoSpaceDN w:val="0"/>
        <w:adjustRightInd w:val="0"/>
        <w:rPr>
          <w:rFonts w:ascii="Times-Roman" w:hAnsi="Times-Roman"/>
          <w:sz w:val="22"/>
          <w:szCs w:val="22"/>
        </w:rPr>
      </w:pPr>
      <w:r w:rsidRPr="00BC6F77">
        <w:rPr>
          <w:rFonts w:ascii="Times-Roman" w:hAnsi="Times-Roman"/>
          <w:sz w:val="22"/>
          <w:szCs w:val="22"/>
        </w:rPr>
        <w:t>The Department wishes to recognize the invaluable contributions of Dr Bryan Higgins, Jack Vogel, Dr. Colin Read, Dr. Bob Golden and Dr. Jason Lee for their unfaltering efforts in establishing t</w:t>
      </w:r>
      <w:r>
        <w:rPr>
          <w:rFonts w:ascii="Times-Roman" w:hAnsi="Times-Roman"/>
          <w:sz w:val="22"/>
          <w:szCs w:val="22"/>
        </w:rPr>
        <w:t xml:space="preserve">he original </w:t>
      </w:r>
      <w:proofErr w:type="spellStart"/>
      <w:r>
        <w:rPr>
          <w:rFonts w:ascii="Times-Roman" w:hAnsi="Times-Roman"/>
          <w:sz w:val="22"/>
          <w:szCs w:val="22"/>
        </w:rPr>
        <w:t>Wanli</w:t>
      </w:r>
      <w:proofErr w:type="spellEnd"/>
      <w:r>
        <w:rPr>
          <w:rFonts w:ascii="Times-Roman" w:hAnsi="Times-Roman"/>
          <w:sz w:val="22"/>
          <w:szCs w:val="22"/>
        </w:rPr>
        <w:t xml:space="preserve"> articulation.</w:t>
      </w:r>
    </w:p>
    <w:p w:rsidR="0013212B" w:rsidRDefault="0013212B" w:rsidP="0013212B">
      <w:pPr>
        <w:pStyle w:val="ListParagraph"/>
        <w:numPr>
          <w:ilvl w:val="0"/>
          <w:numId w:val="6"/>
        </w:numPr>
        <w:autoSpaceDE w:val="0"/>
        <w:autoSpaceDN w:val="0"/>
        <w:adjustRightInd w:val="0"/>
        <w:rPr>
          <w:rFonts w:ascii="Times-Roman" w:hAnsi="Times-Roman"/>
          <w:sz w:val="22"/>
          <w:szCs w:val="22"/>
        </w:rPr>
      </w:pPr>
      <w:r>
        <w:rPr>
          <w:rFonts w:ascii="Times-Roman" w:hAnsi="Times-Roman"/>
          <w:sz w:val="22"/>
          <w:szCs w:val="22"/>
        </w:rPr>
        <w:t>Continue to promote and grow the Business Administration major at SUNY Plattsburgh at Queensbury.  This program provides not only revenue, but as importantly, enhances the reputation of the college in a vital upstate market.</w:t>
      </w:r>
    </w:p>
    <w:p w:rsidR="00BC6F77" w:rsidRPr="00BC6F77" w:rsidRDefault="00BC6F77" w:rsidP="00BC6F77">
      <w:pPr>
        <w:pStyle w:val="ListParagraph"/>
        <w:autoSpaceDE w:val="0"/>
        <w:autoSpaceDN w:val="0"/>
        <w:adjustRightInd w:val="0"/>
        <w:ind w:left="1440"/>
        <w:rPr>
          <w:rFonts w:ascii="Times-Roman" w:hAnsi="Times-Roman"/>
          <w:sz w:val="22"/>
          <w:szCs w:val="22"/>
        </w:rPr>
      </w:pPr>
    </w:p>
    <w:p w:rsidR="00054A11" w:rsidRDefault="00054A11" w:rsidP="00054A11">
      <w:pPr>
        <w:autoSpaceDE w:val="0"/>
        <w:autoSpaceDN w:val="0"/>
        <w:adjustRightInd w:val="0"/>
        <w:rPr>
          <w:iCs/>
        </w:rPr>
      </w:pPr>
      <w:r>
        <w:rPr>
          <w:rFonts w:ascii="Times-Roman" w:hAnsi="Times-Roman"/>
          <w:sz w:val="22"/>
          <w:szCs w:val="22"/>
        </w:rPr>
        <w:t xml:space="preserve">4.  </w:t>
      </w:r>
      <w:r>
        <w:rPr>
          <w:iCs/>
        </w:rPr>
        <w:t>Review your assessment record responses for last year and provide an update on your use of those assessment results.</w:t>
      </w:r>
    </w:p>
    <w:p w:rsidR="006E7433" w:rsidRDefault="006E7433" w:rsidP="00054A11">
      <w:pPr>
        <w:autoSpaceDE w:val="0"/>
        <w:autoSpaceDN w:val="0"/>
        <w:adjustRightInd w:val="0"/>
        <w:rPr>
          <w:iCs/>
        </w:rPr>
      </w:pPr>
    </w:p>
    <w:p w:rsidR="006E7433" w:rsidRDefault="006E7433" w:rsidP="00054A11">
      <w:pPr>
        <w:autoSpaceDE w:val="0"/>
        <w:autoSpaceDN w:val="0"/>
        <w:adjustRightInd w:val="0"/>
        <w:rPr>
          <w:iCs/>
        </w:rPr>
      </w:pPr>
    </w:p>
    <w:p w:rsidR="006E7433" w:rsidRPr="00054A11" w:rsidRDefault="006E7433" w:rsidP="00054A11">
      <w:pPr>
        <w:autoSpaceDE w:val="0"/>
        <w:autoSpaceDN w:val="0"/>
        <w:adjustRightInd w:val="0"/>
        <w:rPr>
          <w:rFonts w:ascii="Times-Roman" w:hAnsi="Times-Roman"/>
          <w:sz w:val="22"/>
          <w:szCs w:val="22"/>
        </w:rPr>
      </w:pPr>
    </w:p>
    <w:p w:rsidR="009433E1" w:rsidRDefault="009433E1">
      <w:pPr>
        <w:autoSpaceDE w:val="0"/>
        <w:autoSpaceDN w:val="0"/>
        <w:adjustRightInd w:val="0"/>
        <w:rPr>
          <w:rFonts w:ascii="Times-Roman" w:hAnsi="Times-Roman"/>
          <w:sz w:val="22"/>
          <w:szCs w:val="22"/>
        </w:rPr>
      </w:pPr>
    </w:p>
    <w:tbl>
      <w:tblPr>
        <w:tblW w:w="9390" w:type="dxa"/>
        <w:tblInd w:w="93" w:type="dxa"/>
        <w:tblLook w:val="04A0"/>
      </w:tblPr>
      <w:tblGrid>
        <w:gridCol w:w="1798"/>
        <w:gridCol w:w="664"/>
        <w:gridCol w:w="565"/>
        <w:gridCol w:w="565"/>
        <w:gridCol w:w="591"/>
        <w:gridCol w:w="747"/>
        <w:gridCol w:w="565"/>
        <w:gridCol w:w="565"/>
        <w:gridCol w:w="565"/>
        <w:gridCol w:w="565"/>
        <w:gridCol w:w="658"/>
        <w:gridCol w:w="772"/>
        <w:gridCol w:w="863"/>
      </w:tblGrid>
      <w:tr w:rsidR="00E65D94" w:rsidRPr="00E65D94" w:rsidTr="00E65D94">
        <w:trPr>
          <w:trHeight w:val="255"/>
        </w:trPr>
        <w:tc>
          <w:tcPr>
            <w:tcW w:w="8659" w:type="dxa"/>
            <w:gridSpan w:val="12"/>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 xml:space="preserve">National </w:t>
            </w:r>
            <w:proofErr w:type="spellStart"/>
            <w:r w:rsidRPr="00E65D94">
              <w:rPr>
                <w:rFonts w:ascii="Arial" w:hAnsi="Arial" w:cs="Arial"/>
                <w:b/>
                <w:bCs/>
                <w:sz w:val="18"/>
                <w:szCs w:val="18"/>
              </w:rPr>
              <w:t>AveragesData</w:t>
            </w:r>
            <w:proofErr w:type="spellEnd"/>
            <w:r w:rsidRPr="00E65D94">
              <w:rPr>
                <w:rFonts w:ascii="Arial" w:hAnsi="Arial" w:cs="Arial"/>
                <w:b/>
                <w:bCs/>
                <w:sz w:val="18"/>
                <w:szCs w:val="18"/>
              </w:rPr>
              <w:t xml:space="preserve"> updated June 2010 National Averages</w:t>
            </w:r>
          </w:p>
        </w:tc>
        <w:tc>
          <w:tcPr>
            <w:tcW w:w="731" w:type="dxa"/>
            <w:vMerge w:val="restart"/>
            <w:tcBorders>
              <w:top w:val="nil"/>
              <w:left w:val="nil"/>
              <w:bottom w:val="nil"/>
              <w:right w:val="nil"/>
            </w:tcBorders>
            <w:shd w:val="clear" w:color="auto" w:fill="auto"/>
            <w:vAlign w:val="bottom"/>
            <w:hideMark/>
          </w:tcPr>
          <w:p w:rsidR="00E65D94" w:rsidRPr="00E65D94" w:rsidRDefault="00E65D94" w:rsidP="00E65D94">
            <w:pPr>
              <w:rPr>
                <w:rFonts w:ascii="Arial" w:hAnsi="Arial" w:cs="Arial"/>
                <w:sz w:val="18"/>
                <w:szCs w:val="18"/>
              </w:rPr>
            </w:pPr>
            <w:r w:rsidRPr="00E65D94">
              <w:rPr>
                <w:rFonts w:ascii="Arial" w:hAnsi="Arial" w:cs="Arial"/>
                <w:sz w:val="18"/>
                <w:szCs w:val="18"/>
              </w:rPr>
              <w:t>percent that exceed national average</w:t>
            </w:r>
          </w:p>
        </w:tc>
      </w:tr>
      <w:tr w:rsidR="00E65D94" w:rsidRPr="00E65D94" w:rsidTr="00E65D94">
        <w:trPr>
          <w:trHeight w:val="255"/>
        </w:trPr>
        <w:tc>
          <w:tcPr>
            <w:tcW w:w="8659" w:type="dxa"/>
            <w:gridSpan w:val="12"/>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 xml:space="preserve">Scores in </w:t>
            </w:r>
            <w:r w:rsidRPr="00E65D94">
              <w:rPr>
                <w:rFonts w:ascii="Arial" w:hAnsi="Arial" w:cs="Arial"/>
                <w:b/>
                <w:bCs/>
                <w:color w:val="FF0000"/>
                <w:sz w:val="18"/>
                <w:szCs w:val="18"/>
              </w:rPr>
              <w:t>Red</w:t>
            </w:r>
            <w:r w:rsidRPr="00E65D94">
              <w:rPr>
                <w:rFonts w:ascii="Arial" w:hAnsi="Arial" w:cs="Arial"/>
                <w:b/>
                <w:bCs/>
                <w:sz w:val="18"/>
                <w:szCs w:val="18"/>
              </w:rPr>
              <w:t xml:space="preserve"> are below national averages</w:t>
            </w:r>
          </w:p>
        </w:tc>
        <w:tc>
          <w:tcPr>
            <w:tcW w:w="731" w:type="dxa"/>
            <w:vMerge/>
            <w:tcBorders>
              <w:top w:val="nil"/>
              <w:left w:val="nil"/>
              <w:bottom w:val="nil"/>
              <w:right w:val="nil"/>
            </w:tcBorders>
            <w:vAlign w:val="center"/>
            <w:hideMark/>
          </w:tcPr>
          <w:p w:rsidR="00E65D94" w:rsidRPr="00E65D94" w:rsidRDefault="00E65D94" w:rsidP="00E65D94">
            <w:pPr>
              <w:rPr>
                <w:rFonts w:ascii="Arial" w:hAnsi="Arial" w:cs="Arial"/>
                <w:sz w:val="18"/>
                <w:szCs w:val="18"/>
              </w:rPr>
            </w:pPr>
          </w:p>
        </w:tc>
      </w:tr>
      <w:tr w:rsidR="00E65D94" w:rsidRPr="00E65D94" w:rsidTr="00E65D94">
        <w:trPr>
          <w:trHeight w:val="402"/>
        </w:trPr>
        <w:tc>
          <w:tcPr>
            <w:tcW w:w="21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i/>
                <w:iCs/>
                <w:sz w:val="18"/>
                <w:szCs w:val="18"/>
                <w:u w:val="single"/>
              </w:rPr>
            </w:pPr>
            <w:r w:rsidRPr="00E65D94">
              <w:rPr>
                <w:rFonts w:ascii="Arial" w:hAnsi="Arial" w:cs="Arial"/>
                <w:b/>
                <w:bCs/>
                <w:i/>
                <w:iCs/>
                <w:sz w:val="18"/>
                <w:szCs w:val="18"/>
                <w:u w:val="single"/>
              </w:rPr>
              <w:t>Major</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i/>
                <w:iCs/>
                <w:sz w:val="18"/>
                <w:szCs w:val="18"/>
                <w:u w:val="single"/>
              </w:rPr>
            </w:pPr>
            <w:r w:rsidRPr="00E65D94">
              <w:rPr>
                <w:rFonts w:ascii="Arial" w:hAnsi="Arial" w:cs="Arial"/>
                <w:b/>
                <w:bCs/>
                <w:i/>
                <w:iCs/>
                <w:sz w:val="18"/>
                <w:szCs w:val="18"/>
                <w:u w:val="single"/>
              </w:rPr>
              <w:t>Mean</w:t>
            </w:r>
          </w:p>
        </w:tc>
        <w:tc>
          <w:tcPr>
            <w:tcW w:w="6020" w:type="dxa"/>
            <w:gridSpan w:val="10"/>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i/>
                <w:iCs/>
                <w:sz w:val="18"/>
                <w:szCs w:val="18"/>
                <w:u w:val="single"/>
              </w:rPr>
            </w:pPr>
            <w:r w:rsidRPr="00E65D94">
              <w:rPr>
                <w:rFonts w:ascii="Arial" w:hAnsi="Arial" w:cs="Arial"/>
                <w:b/>
                <w:bCs/>
                <w:i/>
                <w:iCs/>
                <w:sz w:val="18"/>
                <w:szCs w:val="18"/>
                <w:u w:val="single"/>
              </w:rPr>
              <w:t>Assessment Indicators</w:t>
            </w:r>
          </w:p>
        </w:tc>
        <w:tc>
          <w:tcPr>
            <w:tcW w:w="731" w:type="dxa"/>
            <w:vMerge/>
            <w:tcBorders>
              <w:top w:val="nil"/>
              <w:left w:val="nil"/>
              <w:bottom w:val="nil"/>
              <w:right w:val="nil"/>
            </w:tcBorders>
            <w:vAlign w:val="center"/>
            <w:hideMark/>
          </w:tcPr>
          <w:p w:rsidR="00E65D94" w:rsidRPr="00E65D94" w:rsidRDefault="00E65D94" w:rsidP="00E65D94">
            <w:pPr>
              <w:rPr>
                <w:rFonts w:ascii="Arial" w:hAnsi="Arial" w:cs="Arial"/>
                <w:sz w:val="18"/>
                <w:szCs w:val="18"/>
              </w:rPr>
            </w:pPr>
          </w:p>
        </w:tc>
      </w:tr>
      <w:tr w:rsidR="00E65D94" w:rsidRPr="00E65D94" w:rsidTr="00E65D94">
        <w:trPr>
          <w:trHeight w:val="402"/>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sz w:val="18"/>
                <w:szCs w:val="18"/>
              </w:rPr>
            </w:pPr>
          </w:p>
        </w:tc>
        <w:tc>
          <w:tcPr>
            <w:tcW w:w="515"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sz w:val="18"/>
                <w:szCs w:val="18"/>
              </w:rPr>
            </w:pP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ACC (1)</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ECO (2)</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MGM (3)</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QUANT (4)</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FIN (5)</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MKE (6)</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L/S (7)</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IS (8)</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Int'l(9)</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SD</w:t>
            </w:r>
          </w:p>
        </w:tc>
        <w:tc>
          <w:tcPr>
            <w:tcW w:w="731" w:type="dxa"/>
            <w:vMerge/>
            <w:tcBorders>
              <w:top w:val="nil"/>
              <w:left w:val="nil"/>
              <w:bottom w:val="nil"/>
              <w:right w:val="nil"/>
            </w:tcBorders>
            <w:vAlign w:val="center"/>
            <w:hideMark/>
          </w:tcPr>
          <w:p w:rsidR="00E65D94" w:rsidRPr="00E65D94" w:rsidRDefault="00E65D94" w:rsidP="00E65D94">
            <w:pPr>
              <w:rPr>
                <w:rFonts w:ascii="Arial" w:hAnsi="Arial" w:cs="Arial"/>
                <w:sz w:val="18"/>
                <w:szCs w:val="18"/>
              </w:rPr>
            </w:pP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ACCOUNTING</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157.0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63.0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49.0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55.0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49.0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44.0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58.0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59.0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55.0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53.0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13.0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B050"/>
                <w:sz w:val="18"/>
                <w:szCs w:val="18"/>
              </w:rPr>
            </w:pPr>
            <w:r w:rsidRPr="00E65D94">
              <w:rPr>
                <w:rFonts w:ascii="Arial Black" w:hAnsi="Arial Black" w:cs="Arial"/>
                <w:b/>
                <w:bCs/>
                <w:color w:val="00B050"/>
                <w:sz w:val="18"/>
                <w:szCs w:val="18"/>
              </w:rPr>
              <w:t>67%</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MKE &amp; ENTRE</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151.0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42.0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43.0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62.0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46.0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41.0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61.0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58.0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45.0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55.0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48%</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BUSINESS &amp; GSCM</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155.0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49.0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49.0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62.0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46.0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47.0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60.0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56.0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50.0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56.0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14.0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B050"/>
                <w:sz w:val="18"/>
                <w:szCs w:val="18"/>
              </w:rPr>
            </w:pPr>
            <w:r w:rsidRPr="00E65D94">
              <w:rPr>
                <w:rFonts w:ascii="Arial Black" w:hAnsi="Arial Black" w:cs="Arial"/>
                <w:b/>
                <w:bCs/>
                <w:color w:val="00B050"/>
                <w:sz w:val="18"/>
                <w:szCs w:val="18"/>
              </w:rPr>
              <w:t>60%</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MGM &amp; INT'L BUS (Main)</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155.0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48.0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48.0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61.0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47.0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47.0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60.0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60.0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47.0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59.0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14.0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B050"/>
                <w:sz w:val="18"/>
                <w:szCs w:val="18"/>
              </w:rPr>
            </w:pPr>
            <w:r w:rsidRPr="00E65D94">
              <w:rPr>
                <w:rFonts w:ascii="Arial Black" w:hAnsi="Arial Black" w:cs="Arial"/>
                <w:b/>
                <w:bCs/>
                <w:color w:val="00B050"/>
                <w:sz w:val="18"/>
                <w:szCs w:val="18"/>
              </w:rPr>
              <w:t>60%</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MGM &amp; INT'L BUS (Branch)</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155.0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50.0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44.0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60.0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44.0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47.0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61.0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63.0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51.0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57.0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12.0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B050"/>
                <w:sz w:val="18"/>
                <w:szCs w:val="18"/>
              </w:rPr>
            </w:pPr>
            <w:r w:rsidRPr="00E65D94">
              <w:rPr>
                <w:rFonts w:ascii="Arial Black" w:hAnsi="Arial Black" w:cs="Arial"/>
                <w:b/>
                <w:bCs/>
                <w:color w:val="00B050"/>
                <w:sz w:val="18"/>
                <w:szCs w:val="18"/>
              </w:rPr>
              <w:t>62%</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FINANCE</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161.0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57.0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62.0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61.0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49.0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55.0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61.0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55.0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51.0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61.0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16.0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B050"/>
                <w:sz w:val="18"/>
                <w:szCs w:val="18"/>
              </w:rPr>
            </w:pPr>
            <w:r w:rsidRPr="00E65D94">
              <w:rPr>
                <w:rFonts w:ascii="Arial Black" w:hAnsi="Arial Black" w:cs="Arial"/>
                <w:b/>
                <w:bCs/>
                <w:color w:val="00B050"/>
                <w:sz w:val="18"/>
                <w:szCs w:val="18"/>
              </w:rPr>
              <w:t>73%</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Black" w:hAnsi="Arial Black" w:cs="Arial"/>
                <w:b/>
                <w:bCs/>
                <w:color w:val="0070C0"/>
                <w:sz w:val="18"/>
                <w:szCs w:val="18"/>
              </w:rPr>
            </w:pPr>
            <w:r w:rsidRPr="00E65D94">
              <w:rPr>
                <w:rFonts w:ascii="Arial Black" w:hAnsi="Arial Black" w:cs="Arial"/>
                <w:b/>
                <w:bCs/>
                <w:color w:val="0070C0"/>
                <w:sz w:val="18"/>
                <w:szCs w:val="18"/>
              </w:rPr>
              <w:t>SBE Mean</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155.0</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51.0</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49.0</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60.0</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47.0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46.0</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60.0</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58.0</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FF0000"/>
                <w:sz w:val="18"/>
                <w:szCs w:val="18"/>
              </w:rPr>
            </w:pPr>
            <w:r w:rsidRPr="00E65D94">
              <w:rPr>
                <w:rFonts w:ascii="Arial Black" w:hAnsi="Arial Black" w:cs="Arial"/>
                <w:b/>
                <w:bCs/>
                <w:color w:val="FF0000"/>
                <w:sz w:val="18"/>
                <w:szCs w:val="18"/>
              </w:rPr>
              <w:t>50.0</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56.0</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13.0</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0070C0"/>
                <w:sz w:val="18"/>
                <w:szCs w:val="18"/>
              </w:rPr>
            </w:pPr>
            <w:r w:rsidRPr="00E65D94">
              <w:rPr>
                <w:rFonts w:ascii="Arial Black" w:hAnsi="Arial Black" w:cs="Arial"/>
                <w:b/>
                <w:bCs/>
                <w:color w:val="0070C0"/>
                <w:sz w:val="18"/>
                <w:szCs w:val="18"/>
              </w:rPr>
              <w:t>61%</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Black" w:hAnsi="Arial Black" w:cs="Arial"/>
                <w:b/>
                <w:bCs/>
                <w:color w:val="7030A0"/>
                <w:sz w:val="18"/>
                <w:szCs w:val="18"/>
              </w:rPr>
            </w:pPr>
            <w:r w:rsidRPr="00E65D94">
              <w:rPr>
                <w:rFonts w:ascii="Arial Black" w:hAnsi="Arial Black" w:cs="Arial"/>
                <w:b/>
                <w:bCs/>
                <w:color w:val="7030A0"/>
                <w:sz w:val="18"/>
                <w:szCs w:val="18"/>
              </w:rPr>
              <w:t>National Average</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151.3</w:t>
            </w: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49.5</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47.5</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54.3</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46.0</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54.7</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51.7</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45.8</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57.4</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53.9</w:t>
            </w:r>
          </w:p>
        </w:tc>
        <w:tc>
          <w:tcPr>
            <w:tcW w:w="6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7.3</w:t>
            </w:r>
          </w:p>
        </w:tc>
        <w:tc>
          <w:tcPr>
            <w:tcW w:w="731"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Black" w:hAnsi="Arial Black" w:cs="Arial"/>
                <w:b/>
                <w:bCs/>
                <w:color w:val="7030A0"/>
                <w:sz w:val="18"/>
                <w:szCs w:val="18"/>
              </w:rPr>
            </w:pPr>
            <w:r w:rsidRPr="00E65D94">
              <w:rPr>
                <w:rFonts w:ascii="Arial Black" w:hAnsi="Arial Black" w:cs="Arial"/>
                <w:b/>
                <w:bCs/>
                <w:color w:val="7030A0"/>
                <w:sz w:val="18"/>
                <w:szCs w:val="18"/>
              </w:rPr>
              <w:t>50%</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r w:rsidRPr="00E65D94">
              <w:rPr>
                <w:rFonts w:ascii="Arial" w:hAnsi="Arial" w:cs="Arial"/>
                <w:b/>
                <w:bCs/>
                <w:sz w:val="18"/>
                <w:szCs w:val="18"/>
              </w:rPr>
              <w:t xml:space="preserve">SD - by subject - National </w:t>
            </w:r>
          </w:p>
        </w:tc>
        <w:tc>
          <w:tcPr>
            <w:tcW w:w="51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p>
        </w:tc>
        <w:tc>
          <w:tcPr>
            <w:tcW w:w="62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7.1</w:t>
            </w:r>
          </w:p>
        </w:tc>
        <w:tc>
          <w:tcPr>
            <w:tcW w:w="624"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7.1</w:t>
            </w:r>
          </w:p>
        </w:tc>
        <w:tc>
          <w:tcPr>
            <w:tcW w:w="668"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7.6</w:t>
            </w:r>
          </w:p>
        </w:tc>
        <w:tc>
          <w:tcPr>
            <w:tcW w:w="847"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5.8</w:t>
            </w:r>
          </w:p>
        </w:tc>
        <w:tc>
          <w:tcPr>
            <w:tcW w:w="533"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9</w:t>
            </w:r>
          </w:p>
        </w:tc>
        <w:tc>
          <w:tcPr>
            <w:tcW w:w="632"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7.1</w:t>
            </w:r>
          </w:p>
        </w:tc>
        <w:tc>
          <w:tcPr>
            <w:tcW w:w="525"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6.3</w:t>
            </w:r>
          </w:p>
        </w:tc>
        <w:tc>
          <w:tcPr>
            <w:tcW w:w="426"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5.4</w:t>
            </w:r>
          </w:p>
        </w:tc>
        <w:tc>
          <w:tcPr>
            <w:tcW w:w="509" w:type="dxa"/>
            <w:tcBorders>
              <w:top w:val="nil"/>
              <w:left w:val="nil"/>
              <w:bottom w:val="nil"/>
              <w:right w:val="nil"/>
            </w:tcBorders>
            <w:shd w:val="clear" w:color="auto" w:fill="auto"/>
            <w:noWrap/>
            <w:vAlign w:val="bottom"/>
            <w:hideMark/>
          </w:tcPr>
          <w:p w:rsidR="00E65D94" w:rsidRPr="00E65D94" w:rsidRDefault="00E65D94" w:rsidP="00E65D94">
            <w:pPr>
              <w:jc w:val="center"/>
              <w:rPr>
                <w:rFonts w:ascii="Arial" w:hAnsi="Arial" w:cs="Arial"/>
                <w:b/>
                <w:bCs/>
                <w:sz w:val="18"/>
                <w:szCs w:val="18"/>
              </w:rPr>
            </w:pPr>
            <w:r w:rsidRPr="00E65D94">
              <w:rPr>
                <w:rFonts w:ascii="Arial" w:hAnsi="Arial" w:cs="Arial"/>
                <w:b/>
                <w:bCs/>
                <w:sz w:val="18"/>
                <w:szCs w:val="18"/>
              </w:rPr>
              <w:t>8.1</w:t>
            </w:r>
          </w:p>
        </w:tc>
        <w:tc>
          <w:tcPr>
            <w:tcW w:w="633" w:type="dxa"/>
            <w:vMerge w:val="restart"/>
            <w:tcBorders>
              <w:top w:val="nil"/>
              <w:left w:val="nil"/>
              <w:bottom w:val="nil"/>
              <w:right w:val="nil"/>
            </w:tcBorders>
            <w:shd w:val="clear" w:color="auto" w:fill="auto"/>
            <w:vAlign w:val="center"/>
            <w:hideMark/>
          </w:tcPr>
          <w:p w:rsidR="00E65D94" w:rsidRPr="00E65D94" w:rsidRDefault="00E65D94" w:rsidP="00E65D94">
            <w:pPr>
              <w:jc w:val="center"/>
              <w:rPr>
                <w:rFonts w:ascii="Arial" w:hAnsi="Arial" w:cs="Arial"/>
                <w:sz w:val="18"/>
                <w:szCs w:val="18"/>
              </w:rPr>
            </w:pPr>
            <w:r w:rsidRPr="00E65D94">
              <w:rPr>
                <w:rFonts w:ascii="Arial" w:hAnsi="Arial" w:cs="Arial"/>
                <w:sz w:val="18"/>
                <w:szCs w:val="18"/>
              </w:rPr>
              <w:t>average z-score by program</w:t>
            </w:r>
          </w:p>
        </w:tc>
        <w:tc>
          <w:tcPr>
            <w:tcW w:w="731" w:type="dxa"/>
            <w:vMerge w:val="restart"/>
            <w:tcBorders>
              <w:top w:val="nil"/>
              <w:left w:val="nil"/>
              <w:bottom w:val="nil"/>
              <w:right w:val="nil"/>
            </w:tcBorders>
            <w:shd w:val="clear" w:color="auto" w:fill="auto"/>
            <w:vAlign w:val="center"/>
            <w:hideMark/>
          </w:tcPr>
          <w:p w:rsidR="00E65D94" w:rsidRPr="00E65D94" w:rsidRDefault="00E65D94" w:rsidP="00E65D94">
            <w:pPr>
              <w:jc w:val="center"/>
              <w:rPr>
                <w:rFonts w:ascii="Arial" w:hAnsi="Arial" w:cs="Arial"/>
                <w:sz w:val="18"/>
                <w:szCs w:val="18"/>
              </w:rPr>
            </w:pPr>
            <w:r w:rsidRPr="00E65D94">
              <w:rPr>
                <w:rFonts w:ascii="Arial" w:hAnsi="Arial" w:cs="Arial"/>
                <w:sz w:val="18"/>
                <w:szCs w:val="18"/>
              </w:rPr>
              <w:t>percentile ranking</w:t>
            </w:r>
          </w:p>
        </w:tc>
      </w:tr>
      <w:tr w:rsidR="00E65D94" w:rsidRPr="00E65D94" w:rsidTr="00E65D94">
        <w:trPr>
          <w:trHeight w:val="390"/>
        </w:trPr>
        <w:tc>
          <w:tcPr>
            <w:tcW w:w="21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515"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623"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624"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668"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847"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533"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632"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525"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426"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509" w:type="dxa"/>
            <w:tcBorders>
              <w:top w:val="nil"/>
              <w:left w:val="nil"/>
              <w:bottom w:val="nil"/>
              <w:right w:val="nil"/>
            </w:tcBorders>
            <w:shd w:val="clear" w:color="auto" w:fill="auto"/>
            <w:noWrap/>
            <w:vAlign w:val="bottom"/>
            <w:hideMark/>
          </w:tcPr>
          <w:p w:rsidR="00E65D94" w:rsidRPr="00E65D94" w:rsidRDefault="00E65D94" w:rsidP="00E65D94">
            <w:pPr>
              <w:rPr>
                <w:rFonts w:ascii="Arial" w:hAnsi="Arial" w:cs="Arial"/>
                <w:b/>
                <w:bCs/>
                <w:sz w:val="18"/>
                <w:szCs w:val="18"/>
              </w:rPr>
            </w:pPr>
          </w:p>
        </w:tc>
        <w:tc>
          <w:tcPr>
            <w:tcW w:w="633" w:type="dxa"/>
            <w:vMerge/>
            <w:tcBorders>
              <w:top w:val="nil"/>
              <w:left w:val="nil"/>
              <w:bottom w:val="nil"/>
              <w:right w:val="nil"/>
            </w:tcBorders>
            <w:vAlign w:val="center"/>
            <w:hideMark/>
          </w:tcPr>
          <w:p w:rsidR="00E65D94" w:rsidRPr="00E65D94" w:rsidRDefault="00E65D94" w:rsidP="00E65D94">
            <w:pPr>
              <w:rPr>
                <w:rFonts w:ascii="Arial" w:hAnsi="Arial" w:cs="Arial"/>
                <w:sz w:val="18"/>
                <w:szCs w:val="18"/>
              </w:rPr>
            </w:pPr>
          </w:p>
        </w:tc>
        <w:tc>
          <w:tcPr>
            <w:tcW w:w="731" w:type="dxa"/>
            <w:vMerge/>
            <w:tcBorders>
              <w:top w:val="nil"/>
              <w:left w:val="nil"/>
              <w:bottom w:val="nil"/>
              <w:right w:val="nil"/>
            </w:tcBorders>
            <w:vAlign w:val="center"/>
            <w:hideMark/>
          </w:tcPr>
          <w:p w:rsidR="00E65D94" w:rsidRPr="00E65D94" w:rsidRDefault="00E65D94" w:rsidP="00E65D94">
            <w:pPr>
              <w:rPr>
                <w:rFonts w:ascii="Arial" w:hAnsi="Arial" w:cs="Arial"/>
                <w:sz w:val="18"/>
                <w:szCs w:val="18"/>
              </w:rPr>
            </w:pPr>
          </w:p>
        </w:tc>
      </w:tr>
    </w:tbl>
    <w:p w:rsidR="006005EC" w:rsidRDefault="006005EC">
      <w:pPr>
        <w:autoSpaceDE w:val="0"/>
        <w:autoSpaceDN w:val="0"/>
        <w:adjustRightInd w:val="0"/>
        <w:rPr>
          <w:rFonts w:ascii="Times-Roman" w:hAnsi="Times-Roman"/>
          <w:sz w:val="22"/>
          <w:szCs w:val="22"/>
        </w:rPr>
      </w:pPr>
    </w:p>
    <w:p w:rsidR="00E65D94" w:rsidRDefault="00E65D94">
      <w:pPr>
        <w:autoSpaceDE w:val="0"/>
        <w:autoSpaceDN w:val="0"/>
        <w:adjustRightInd w:val="0"/>
        <w:rPr>
          <w:rFonts w:ascii="Times-Roman" w:hAnsi="Times-Roman"/>
          <w:sz w:val="22"/>
          <w:szCs w:val="22"/>
        </w:rPr>
      </w:pPr>
      <w:r>
        <w:rPr>
          <w:rFonts w:ascii="Times-Roman" w:hAnsi="Times-Roman"/>
          <w:sz w:val="22"/>
          <w:szCs w:val="22"/>
        </w:rPr>
        <w:t>As shown above, business and global supply chain management majors improved significantly spring 10 to spring 11 in overall ETS results.  60% of our majors exceeded the national average.  The Department feels that the changes in the ETS implemented in spring 11 (it is now on each student’s CAPP with room for a letter grade) has heightened student awareness of and diligence towards this business major field test.</w:t>
      </w:r>
      <w:r w:rsidR="00005D8D">
        <w:rPr>
          <w:rFonts w:ascii="Times-Roman" w:hAnsi="Times-Roman"/>
          <w:sz w:val="22"/>
          <w:szCs w:val="22"/>
        </w:rPr>
        <w:t xml:space="preserve">  The department would like to thank Assistant Dean Studley for initiating and implementing these changes.</w:t>
      </w:r>
    </w:p>
    <w:p w:rsidR="00E65D94" w:rsidRDefault="00E65D94">
      <w:pPr>
        <w:autoSpaceDE w:val="0"/>
        <w:autoSpaceDN w:val="0"/>
        <w:adjustRightInd w:val="0"/>
        <w:rPr>
          <w:rFonts w:ascii="Times-Roman" w:hAnsi="Times-Roman"/>
          <w:sz w:val="22"/>
          <w:szCs w:val="22"/>
        </w:rPr>
      </w:pPr>
    </w:p>
    <w:p w:rsidR="00E65D94" w:rsidRDefault="00E65D94">
      <w:pPr>
        <w:autoSpaceDE w:val="0"/>
        <w:autoSpaceDN w:val="0"/>
        <w:adjustRightInd w:val="0"/>
        <w:rPr>
          <w:rFonts w:ascii="Times-Roman" w:hAnsi="Times-Roman"/>
          <w:sz w:val="22"/>
          <w:szCs w:val="22"/>
        </w:rPr>
      </w:pPr>
      <w:r>
        <w:rPr>
          <w:rFonts w:ascii="Times-Roman" w:hAnsi="Times-Roman"/>
          <w:sz w:val="22"/>
          <w:szCs w:val="22"/>
        </w:rPr>
        <w:t xml:space="preserve">The department is still unhappy with the category results for accounting (1 point below the SBE mean and </w:t>
      </w:r>
      <w:r w:rsidR="00005D8D">
        <w:rPr>
          <w:rFonts w:ascii="Times-Roman" w:hAnsi="Times-Roman"/>
          <w:sz w:val="22"/>
          <w:szCs w:val="22"/>
        </w:rPr>
        <w:t>.5 point below the national mean), finance (above the SBE mean, yet 7 points below the national mean), and information systems (equal to the SBE mean, yet 7 points below the national mean).  The department will be reviewing the course content in SCM370 (required for both majors) and SCM495 (required for GSCM majors) to determine if additional content in these areas can be incorporated.</w:t>
      </w:r>
    </w:p>
    <w:p w:rsidR="00005D8D" w:rsidRDefault="00005D8D">
      <w:pPr>
        <w:autoSpaceDE w:val="0"/>
        <w:autoSpaceDN w:val="0"/>
        <w:adjustRightInd w:val="0"/>
        <w:rPr>
          <w:rFonts w:ascii="Times-Roman" w:hAnsi="Times-Roman"/>
          <w:sz w:val="22"/>
          <w:szCs w:val="22"/>
        </w:rPr>
      </w:pPr>
    </w:p>
    <w:p w:rsidR="00005D8D" w:rsidRPr="001A5AD2" w:rsidRDefault="00005D8D">
      <w:pPr>
        <w:autoSpaceDE w:val="0"/>
        <w:autoSpaceDN w:val="0"/>
        <w:adjustRightInd w:val="0"/>
        <w:rPr>
          <w:rFonts w:ascii="Times-Roman" w:hAnsi="Times-Roman"/>
          <w:sz w:val="22"/>
          <w:szCs w:val="22"/>
        </w:rPr>
      </w:pPr>
      <w:r>
        <w:rPr>
          <w:rFonts w:ascii="Times-Roman" w:hAnsi="Times-Roman"/>
          <w:sz w:val="22"/>
          <w:szCs w:val="22"/>
        </w:rPr>
        <w:t xml:space="preserve">The department is also developing, for Global Supply Chain Management majors, </w:t>
      </w:r>
      <w:r>
        <w:rPr>
          <w:bCs/>
        </w:rPr>
        <w:t>a required “Supply Chain Management” senior test to be given during SCM495 Global Supply Chain Strategy.  The test is modeled on the APICS certification exam, and will cover the core supply chain body of knowledge.  To be offered the first time in Fall 11.</w:t>
      </w:r>
    </w:p>
    <w:p w:rsidR="00DE7338" w:rsidRDefault="00DE7338">
      <w:pPr>
        <w:autoSpaceDE w:val="0"/>
        <w:autoSpaceDN w:val="0"/>
        <w:adjustRightInd w:val="0"/>
        <w:rPr>
          <w:rFonts w:ascii="Times-Roman" w:hAnsi="Times-Roman"/>
          <w:sz w:val="22"/>
          <w:szCs w:val="22"/>
        </w:rPr>
      </w:pPr>
    </w:p>
    <w:p w:rsidR="00C66100" w:rsidRPr="001A5AD2" w:rsidRDefault="00257C64">
      <w:pPr>
        <w:autoSpaceDE w:val="0"/>
        <w:autoSpaceDN w:val="0"/>
        <w:adjustRightInd w:val="0"/>
        <w:rPr>
          <w:rFonts w:ascii="Times-Roman" w:hAnsi="Times-Roman"/>
          <w:sz w:val="22"/>
          <w:szCs w:val="22"/>
        </w:rPr>
      </w:pPr>
      <w:r>
        <w:rPr>
          <w:rFonts w:ascii="Times-Roman" w:hAnsi="Times-Roman"/>
          <w:sz w:val="22"/>
          <w:szCs w:val="22"/>
        </w:rPr>
        <w:t xml:space="preserve">B.  </w:t>
      </w:r>
      <w:r w:rsidR="00C66100" w:rsidRPr="001A5AD2">
        <w:rPr>
          <w:rFonts w:ascii="Times-Roman" w:hAnsi="Times-Roman"/>
          <w:sz w:val="22"/>
          <w:szCs w:val="22"/>
        </w:rPr>
        <w:t>Complete and include those attachments relevant to your department/unit:</w:t>
      </w:r>
    </w:p>
    <w:p w:rsidR="00C66100" w:rsidRPr="001A5AD2" w:rsidRDefault="00E73EF2" w:rsidP="00E73EF2">
      <w:pPr>
        <w:autoSpaceDE w:val="0"/>
        <w:autoSpaceDN w:val="0"/>
        <w:adjustRightInd w:val="0"/>
        <w:rPr>
          <w:rFonts w:ascii="Times-Roman" w:hAnsi="Times-Roman"/>
          <w:sz w:val="22"/>
          <w:szCs w:val="22"/>
        </w:rPr>
      </w:pPr>
      <w:r w:rsidRPr="001A5AD2">
        <w:rPr>
          <w:rFonts w:ascii="Times-Roman" w:hAnsi="Times-Roman"/>
          <w:sz w:val="22"/>
          <w:szCs w:val="22"/>
        </w:rPr>
        <w:tab/>
      </w:r>
      <w:r w:rsidR="00C66100" w:rsidRPr="001A5AD2">
        <w:rPr>
          <w:rFonts w:ascii="Times-Roman" w:hAnsi="Times-Roman"/>
          <w:sz w:val="22"/>
          <w:szCs w:val="22"/>
        </w:rPr>
        <w:t>~Extraordinary Student Activities</w:t>
      </w:r>
    </w:p>
    <w:p w:rsidR="00107784" w:rsidRPr="001A5AD2" w:rsidRDefault="00C66100" w:rsidP="00107784">
      <w:pPr>
        <w:autoSpaceDE w:val="0"/>
        <w:autoSpaceDN w:val="0"/>
        <w:adjustRightInd w:val="0"/>
        <w:ind w:firstLine="720"/>
        <w:rPr>
          <w:rFonts w:ascii="Times-Roman" w:hAnsi="Times-Roman"/>
          <w:sz w:val="22"/>
          <w:szCs w:val="22"/>
        </w:rPr>
      </w:pPr>
      <w:r w:rsidRPr="001A5AD2">
        <w:rPr>
          <w:rFonts w:ascii="Times-Roman" w:hAnsi="Times-Roman"/>
          <w:sz w:val="22"/>
          <w:szCs w:val="22"/>
        </w:rPr>
        <w:t>~Scholarly Activity Form (Excel Spreadsheet</w:t>
      </w:r>
      <w:r w:rsidR="00107784" w:rsidRPr="001A5AD2">
        <w:rPr>
          <w:rFonts w:ascii="Times-Roman" w:hAnsi="Times-Roman"/>
          <w:sz w:val="22"/>
          <w:szCs w:val="22"/>
        </w:rPr>
        <w:t xml:space="preserve">; complete </w:t>
      </w:r>
      <w:r w:rsidR="00E73EF2" w:rsidRPr="001A5AD2">
        <w:rPr>
          <w:rFonts w:ascii="Times-Roman" w:hAnsi="Times-Roman"/>
          <w:sz w:val="22"/>
          <w:szCs w:val="22"/>
        </w:rPr>
        <w:t xml:space="preserve">according to attached format </w:t>
      </w:r>
    </w:p>
    <w:p w:rsidR="00C66100" w:rsidRPr="001A5AD2" w:rsidRDefault="00E73EF2" w:rsidP="00107784">
      <w:pPr>
        <w:autoSpaceDE w:val="0"/>
        <w:autoSpaceDN w:val="0"/>
        <w:adjustRightInd w:val="0"/>
        <w:ind w:left="1440"/>
        <w:rPr>
          <w:rFonts w:ascii="Times-Roman" w:hAnsi="Times-Roman"/>
          <w:sz w:val="22"/>
          <w:szCs w:val="22"/>
        </w:rPr>
      </w:pPr>
      <w:proofErr w:type="gramStart"/>
      <w:r w:rsidRPr="001A5AD2">
        <w:rPr>
          <w:rFonts w:ascii="Times-Roman" w:hAnsi="Times-Roman"/>
          <w:sz w:val="22"/>
          <w:szCs w:val="22"/>
        </w:rPr>
        <w:t>guidelines</w:t>
      </w:r>
      <w:proofErr w:type="gramEnd"/>
      <w:r w:rsidR="00C66100" w:rsidRPr="001A5AD2">
        <w:rPr>
          <w:rFonts w:ascii="Times-Roman" w:hAnsi="Times-Roman"/>
          <w:sz w:val="22"/>
          <w:szCs w:val="22"/>
        </w:rPr>
        <w:t>)</w:t>
      </w:r>
    </w:p>
    <w:p w:rsidR="00C66100" w:rsidRPr="001A5AD2" w:rsidRDefault="00C66100">
      <w:pPr>
        <w:autoSpaceDE w:val="0"/>
        <w:autoSpaceDN w:val="0"/>
        <w:adjustRightInd w:val="0"/>
        <w:ind w:firstLine="720"/>
        <w:rPr>
          <w:sz w:val="22"/>
          <w:szCs w:val="22"/>
        </w:rPr>
      </w:pPr>
      <w:r w:rsidRPr="001A5AD2">
        <w:rPr>
          <w:sz w:val="22"/>
          <w:szCs w:val="22"/>
        </w:rPr>
        <w:t>~Assessment Record for Academic Department</w:t>
      </w:r>
    </w:p>
    <w:p w:rsidR="00C66100" w:rsidRPr="001A5AD2" w:rsidRDefault="00C66100" w:rsidP="00C66100">
      <w:pPr>
        <w:autoSpaceDE w:val="0"/>
        <w:autoSpaceDN w:val="0"/>
        <w:adjustRightInd w:val="0"/>
        <w:ind w:firstLine="720"/>
        <w:rPr>
          <w:b/>
          <w:bCs/>
          <w:sz w:val="22"/>
          <w:szCs w:val="22"/>
        </w:rPr>
      </w:pPr>
      <w:r w:rsidRPr="001A5AD2">
        <w:rPr>
          <w:b/>
          <w:bCs/>
          <w:sz w:val="22"/>
          <w:szCs w:val="22"/>
        </w:rPr>
        <w:tab/>
      </w:r>
      <w:r w:rsidRPr="001A5AD2">
        <w:rPr>
          <w:b/>
          <w:bCs/>
          <w:sz w:val="22"/>
          <w:szCs w:val="22"/>
        </w:rPr>
        <w:tab/>
      </w:r>
      <w:r w:rsidRPr="001A5AD2">
        <w:rPr>
          <w:b/>
          <w:bCs/>
          <w:sz w:val="22"/>
          <w:szCs w:val="22"/>
        </w:rPr>
        <w:tab/>
        <w:t>OR</w:t>
      </w:r>
    </w:p>
    <w:p w:rsidR="00C66100" w:rsidRPr="001A5AD2" w:rsidRDefault="00C66100">
      <w:pPr>
        <w:autoSpaceDE w:val="0"/>
        <w:autoSpaceDN w:val="0"/>
        <w:adjustRightInd w:val="0"/>
        <w:ind w:firstLine="720"/>
        <w:rPr>
          <w:rFonts w:ascii="Times-Roman" w:hAnsi="Times-Roman"/>
          <w:sz w:val="22"/>
          <w:szCs w:val="22"/>
        </w:rPr>
      </w:pPr>
      <w:r w:rsidRPr="001A5AD2">
        <w:rPr>
          <w:rFonts w:ascii="Times-Roman" w:hAnsi="Times-Roman"/>
          <w:sz w:val="22"/>
          <w:szCs w:val="22"/>
        </w:rPr>
        <w:t>Assessment Record for Administrative or Educational Support Department/Unit</w:t>
      </w:r>
    </w:p>
    <w:p w:rsidR="00C66100" w:rsidRPr="001A5AD2" w:rsidRDefault="00C66100">
      <w:pPr>
        <w:autoSpaceDE w:val="0"/>
        <w:autoSpaceDN w:val="0"/>
        <w:adjustRightInd w:val="0"/>
        <w:rPr>
          <w:rFonts w:ascii="Times-Roman" w:hAnsi="Times-Roman"/>
          <w:sz w:val="22"/>
          <w:szCs w:val="22"/>
        </w:rPr>
      </w:pPr>
    </w:p>
    <w:p w:rsidR="00DE7338" w:rsidRDefault="00DE7338">
      <w:pPr>
        <w:autoSpaceDE w:val="0"/>
        <w:autoSpaceDN w:val="0"/>
        <w:adjustRightInd w:val="0"/>
        <w:rPr>
          <w:rFonts w:ascii="Times-Roman" w:hAnsi="Times-Roman"/>
          <w:sz w:val="22"/>
          <w:szCs w:val="22"/>
        </w:rPr>
      </w:pPr>
    </w:p>
    <w:p w:rsidR="00C66100" w:rsidRPr="00257C64" w:rsidRDefault="00257C64">
      <w:pPr>
        <w:autoSpaceDE w:val="0"/>
        <w:autoSpaceDN w:val="0"/>
        <w:adjustRightInd w:val="0"/>
        <w:rPr>
          <w:rFonts w:ascii="Times-Roman" w:hAnsi="Times-Roman"/>
          <w:sz w:val="22"/>
          <w:szCs w:val="22"/>
        </w:rPr>
      </w:pPr>
      <w:r>
        <w:rPr>
          <w:rFonts w:ascii="Times-Roman" w:hAnsi="Times-Roman"/>
          <w:sz w:val="22"/>
          <w:szCs w:val="22"/>
        </w:rPr>
        <w:lastRenderedPageBreak/>
        <w:t xml:space="preserve">C.  </w:t>
      </w:r>
      <w:r w:rsidR="00C66100" w:rsidRPr="001A5AD2">
        <w:rPr>
          <w:rFonts w:ascii="Times-Roman" w:hAnsi="Times-Roman"/>
          <w:sz w:val="22"/>
          <w:szCs w:val="22"/>
        </w:rPr>
        <w:t>Attach or forward at a later date the individual annual activity reports for department/unit</w:t>
      </w:r>
      <w:r>
        <w:rPr>
          <w:rFonts w:ascii="Times-Roman" w:hAnsi="Times-Roman"/>
          <w:sz w:val="22"/>
          <w:szCs w:val="22"/>
        </w:rPr>
        <w:t xml:space="preserve"> </w:t>
      </w:r>
      <w:r w:rsidR="00C66100" w:rsidRPr="001A5AD2">
        <w:rPr>
          <w:rFonts w:ascii="Times-Roman" w:hAnsi="Times-Roman"/>
          <w:sz w:val="22"/>
          <w:szCs w:val="22"/>
        </w:rPr>
        <w:t>members.</w:t>
      </w:r>
    </w:p>
    <w:p w:rsidR="00C66100" w:rsidRPr="001A5AD2" w:rsidRDefault="00C66100">
      <w:pPr>
        <w:rPr>
          <w:sz w:val="22"/>
          <w:szCs w:val="22"/>
        </w:rPr>
      </w:pPr>
    </w:p>
    <w:p w:rsidR="00DE7338" w:rsidRDefault="00DE7338">
      <w:pPr>
        <w:rPr>
          <w:b/>
          <w:sz w:val="22"/>
          <w:szCs w:val="22"/>
        </w:rPr>
      </w:pPr>
    </w:p>
    <w:p w:rsidR="00257C64" w:rsidRDefault="00257C64">
      <w:pPr>
        <w:rPr>
          <w:b/>
          <w:sz w:val="22"/>
          <w:szCs w:val="22"/>
        </w:rPr>
      </w:pPr>
    </w:p>
    <w:p w:rsidR="00257C64" w:rsidRDefault="00257C64">
      <w:pPr>
        <w:rPr>
          <w:b/>
          <w:sz w:val="22"/>
          <w:szCs w:val="22"/>
        </w:rPr>
      </w:pPr>
    </w:p>
    <w:p w:rsidR="00257C64" w:rsidRDefault="00257C64">
      <w:pPr>
        <w:rPr>
          <w:b/>
          <w:sz w:val="22"/>
          <w:szCs w:val="22"/>
        </w:rPr>
      </w:pPr>
    </w:p>
    <w:p w:rsidR="00C66100" w:rsidRPr="001A5AD2" w:rsidRDefault="00C66100">
      <w:pPr>
        <w:rPr>
          <w:b/>
          <w:sz w:val="22"/>
          <w:szCs w:val="22"/>
        </w:rPr>
      </w:pPr>
      <w:r w:rsidRPr="001A5AD2">
        <w:rPr>
          <w:b/>
          <w:sz w:val="22"/>
          <w:szCs w:val="22"/>
        </w:rPr>
        <w:t xml:space="preserve">Revised </w:t>
      </w:r>
      <w:r w:rsidR="00203107">
        <w:rPr>
          <w:b/>
          <w:sz w:val="22"/>
          <w:szCs w:val="22"/>
        </w:rPr>
        <w:t>5</w:t>
      </w:r>
      <w:r w:rsidRPr="001A5AD2">
        <w:rPr>
          <w:b/>
          <w:sz w:val="22"/>
          <w:szCs w:val="22"/>
        </w:rPr>
        <w:t>/</w:t>
      </w:r>
      <w:r w:rsidR="00CB67B3" w:rsidRPr="001A5AD2">
        <w:rPr>
          <w:b/>
          <w:sz w:val="22"/>
          <w:szCs w:val="22"/>
        </w:rPr>
        <w:t>20</w:t>
      </w:r>
      <w:r w:rsidR="009433E1">
        <w:rPr>
          <w:b/>
          <w:sz w:val="22"/>
          <w:szCs w:val="22"/>
        </w:rPr>
        <w:t>11</w:t>
      </w:r>
    </w:p>
    <w:sectPr w:rsidR="00C66100" w:rsidRPr="001A5AD2" w:rsidSect="00C66100">
      <w:pgSz w:w="12240" w:h="15840"/>
      <w:pgMar w:top="720" w:right="1440" w:bottom="72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334"/>
    <w:multiLevelType w:val="hybridMultilevel"/>
    <w:tmpl w:val="BE962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8E7B3C"/>
    <w:multiLevelType w:val="hybridMultilevel"/>
    <w:tmpl w:val="0CEC3B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B0418CB"/>
    <w:multiLevelType w:val="hybridMultilevel"/>
    <w:tmpl w:val="8070F1B8"/>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1">
      <w:start w:val="1"/>
      <w:numFmt w:val="bullet"/>
      <w:lvlText w:val=""/>
      <w:lvlJc w:val="left"/>
      <w:pPr>
        <w:tabs>
          <w:tab w:val="num" w:pos="2280"/>
        </w:tabs>
        <w:ind w:left="2280" w:hanging="360"/>
      </w:pPr>
      <w:rPr>
        <w:rFonts w:ascii="Symbol" w:hAnsi="Symbol" w:hint="default"/>
      </w:rPr>
    </w:lvl>
    <w:lvl w:ilvl="3" w:tplc="0409000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31165850"/>
    <w:multiLevelType w:val="hybridMultilevel"/>
    <w:tmpl w:val="97344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655B5"/>
    <w:multiLevelType w:val="hybridMultilevel"/>
    <w:tmpl w:val="277C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432C2"/>
    <w:multiLevelType w:val="hybridMultilevel"/>
    <w:tmpl w:val="04D6D4D8"/>
    <w:lvl w:ilvl="0" w:tplc="1E947CBE">
      <w:start w:val="1"/>
      <w:numFmt w:val="bullet"/>
      <w:lvlText w:val="•"/>
      <w:lvlJc w:val="left"/>
      <w:pPr>
        <w:tabs>
          <w:tab w:val="num" w:pos="720"/>
        </w:tabs>
        <w:ind w:left="720" w:hanging="360"/>
      </w:pPr>
      <w:rPr>
        <w:rFonts w:ascii="Times New Roman" w:hAnsi="Times New Roman" w:hint="default"/>
      </w:rPr>
    </w:lvl>
    <w:lvl w:ilvl="1" w:tplc="29400520">
      <w:start w:val="1146"/>
      <w:numFmt w:val="bullet"/>
      <w:lvlText w:val="–"/>
      <w:lvlJc w:val="left"/>
      <w:pPr>
        <w:tabs>
          <w:tab w:val="num" w:pos="1440"/>
        </w:tabs>
        <w:ind w:left="1440" w:hanging="360"/>
      </w:pPr>
      <w:rPr>
        <w:rFonts w:ascii="Times New Roman" w:hAnsi="Times New Roman" w:hint="default"/>
      </w:rPr>
    </w:lvl>
    <w:lvl w:ilvl="2" w:tplc="158863D2">
      <w:start w:val="1"/>
      <w:numFmt w:val="bullet"/>
      <w:lvlText w:val="•"/>
      <w:lvlJc w:val="left"/>
      <w:pPr>
        <w:tabs>
          <w:tab w:val="num" w:pos="2160"/>
        </w:tabs>
        <w:ind w:left="2160" w:hanging="360"/>
      </w:pPr>
      <w:rPr>
        <w:rFonts w:ascii="Times New Roman" w:hAnsi="Times New Roman" w:hint="default"/>
      </w:rPr>
    </w:lvl>
    <w:lvl w:ilvl="3" w:tplc="FDCC4492" w:tentative="1">
      <w:start w:val="1"/>
      <w:numFmt w:val="bullet"/>
      <w:lvlText w:val="•"/>
      <w:lvlJc w:val="left"/>
      <w:pPr>
        <w:tabs>
          <w:tab w:val="num" w:pos="2880"/>
        </w:tabs>
        <w:ind w:left="2880" w:hanging="360"/>
      </w:pPr>
      <w:rPr>
        <w:rFonts w:ascii="Times New Roman" w:hAnsi="Times New Roman" w:hint="default"/>
      </w:rPr>
    </w:lvl>
    <w:lvl w:ilvl="4" w:tplc="EDB498FC" w:tentative="1">
      <w:start w:val="1"/>
      <w:numFmt w:val="bullet"/>
      <w:lvlText w:val="•"/>
      <w:lvlJc w:val="left"/>
      <w:pPr>
        <w:tabs>
          <w:tab w:val="num" w:pos="3600"/>
        </w:tabs>
        <w:ind w:left="3600" w:hanging="360"/>
      </w:pPr>
      <w:rPr>
        <w:rFonts w:ascii="Times New Roman" w:hAnsi="Times New Roman" w:hint="default"/>
      </w:rPr>
    </w:lvl>
    <w:lvl w:ilvl="5" w:tplc="91726426" w:tentative="1">
      <w:start w:val="1"/>
      <w:numFmt w:val="bullet"/>
      <w:lvlText w:val="•"/>
      <w:lvlJc w:val="left"/>
      <w:pPr>
        <w:tabs>
          <w:tab w:val="num" w:pos="4320"/>
        </w:tabs>
        <w:ind w:left="4320" w:hanging="360"/>
      </w:pPr>
      <w:rPr>
        <w:rFonts w:ascii="Times New Roman" w:hAnsi="Times New Roman" w:hint="default"/>
      </w:rPr>
    </w:lvl>
    <w:lvl w:ilvl="6" w:tplc="8B74837A" w:tentative="1">
      <w:start w:val="1"/>
      <w:numFmt w:val="bullet"/>
      <w:lvlText w:val="•"/>
      <w:lvlJc w:val="left"/>
      <w:pPr>
        <w:tabs>
          <w:tab w:val="num" w:pos="5040"/>
        </w:tabs>
        <w:ind w:left="5040" w:hanging="360"/>
      </w:pPr>
      <w:rPr>
        <w:rFonts w:ascii="Times New Roman" w:hAnsi="Times New Roman" w:hint="default"/>
      </w:rPr>
    </w:lvl>
    <w:lvl w:ilvl="7" w:tplc="5626535E" w:tentative="1">
      <w:start w:val="1"/>
      <w:numFmt w:val="bullet"/>
      <w:lvlText w:val="•"/>
      <w:lvlJc w:val="left"/>
      <w:pPr>
        <w:tabs>
          <w:tab w:val="num" w:pos="5760"/>
        </w:tabs>
        <w:ind w:left="5760" w:hanging="360"/>
      </w:pPr>
      <w:rPr>
        <w:rFonts w:ascii="Times New Roman" w:hAnsi="Times New Roman" w:hint="default"/>
      </w:rPr>
    </w:lvl>
    <w:lvl w:ilvl="8" w:tplc="D0C22A7A" w:tentative="1">
      <w:start w:val="1"/>
      <w:numFmt w:val="bullet"/>
      <w:lvlText w:val="•"/>
      <w:lvlJc w:val="left"/>
      <w:pPr>
        <w:tabs>
          <w:tab w:val="num" w:pos="6480"/>
        </w:tabs>
        <w:ind w:left="6480" w:hanging="360"/>
      </w:pPr>
      <w:rPr>
        <w:rFonts w:ascii="Times New Roman" w:hAnsi="Times New Roman" w:hint="default"/>
      </w:rPr>
    </w:lvl>
  </w:abstractNum>
  <w:abstractNum w:abstractNumId="6">
    <w:nsid w:val="4106465B"/>
    <w:multiLevelType w:val="hybridMultilevel"/>
    <w:tmpl w:val="C4BE3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BF27F2"/>
    <w:multiLevelType w:val="hybridMultilevel"/>
    <w:tmpl w:val="46B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66100"/>
    <w:rsid w:val="00005D8D"/>
    <w:rsid w:val="00054A11"/>
    <w:rsid w:val="00107784"/>
    <w:rsid w:val="0013212B"/>
    <w:rsid w:val="001A5AD2"/>
    <w:rsid w:val="001C6E57"/>
    <w:rsid w:val="00203107"/>
    <w:rsid w:val="0024597A"/>
    <w:rsid w:val="00257C64"/>
    <w:rsid w:val="002870F9"/>
    <w:rsid w:val="00325BC8"/>
    <w:rsid w:val="0033760F"/>
    <w:rsid w:val="00364C27"/>
    <w:rsid w:val="003746FC"/>
    <w:rsid w:val="003A0C19"/>
    <w:rsid w:val="00457AD5"/>
    <w:rsid w:val="004B3610"/>
    <w:rsid w:val="004D611A"/>
    <w:rsid w:val="005101F9"/>
    <w:rsid w:val="005837E3"/>
    <w:rsid w:val="005B5980"/>
    <w:rsid w:val="006005EC"/>
    <w:rsid w:val="00661FD0"/>
    <w:rsid w:val="0066661F"/>
    <w:rsid w:val="006E7433"/>
    <w:rsid w:val="007076C3"/>
    <w:rsid w:val="00772FC4"/>
    <w:rsid w:val="007E73CD"/>
    <w:rsid w:val="008C3156"/>
    <w:rsid w:val="008C6A92"/>
    <w:rsid w:val="008F4437"/>
    <w:rsid w:val="009433E1"/>
    <w:rsid w:val="009470C8"/>
    <w:rsid w:val="00A548CE"/>
    <w:rsid w:val="00A74E4F"/>
    <w:rsid w:val="00A82043"/>
    <w:rsid w:val="00BB33F7"/>
    <w:rsid w:val="00BC6F77"/>
    <w:rsid w:val="00BC7206"/>
    <w:rsid w:val="00BE74C9"/>
    <w:rsid w:val="00C41FC6"/>
    <w:rsid w:val="00C66100"/>
    <w:rsid w:val="00CB67B3"/>
    <w:rsid w:val="00DE7338"/>
    <w:rsid w:val="00E65D94"/>
    <w:rsid w:val="00E6646B"/>
    <w:rsid w:val="00E73EF2"/>
    <w:rsid w:val="00F93621"/>
    <w:rsid w:val="00FA60EC"/>
    <w:rsid w:val="00FC54AE"/>
    <w:rsid w:val="00FD7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E4F"/>
    <w:rPr>
      <w:sz w:val="24"/>
      <w:szCs w:val="24"/>
    </w:rPr>
  </w:style>
  <w:style w:type="paragraph" w:styleId="Heading1">
    <w:name w:val="heading 1"/>
    <w:basedOn w:val="Normal"/>
    <w:next w:val="Normal"/>
    <w:qFormat/>
    <w:rsid w:val="00A74E4F"/>
    <w:pPr>
      <w:keepNext/>
      <w:autoSpaceDE w:val="0"/>
      <w:autoSpaceDN w:val="0"/>
      <w:adjustRightInd w:val="0"/>
      <w:outlineLvl w:val="0"/>
    </w:pPr>
    <w:rPr>
      <w:rFonts w:ascii="Times-Roman" w:hAnsi="Times-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4E4F"/>
    <w:pPr>
      <w:autoSpaceDE w:val="0"/>
      <w:autoSpaceDN w:val="0"/>
      <w:adjustRightInd w:val="0"/>
      <w:jc w:val="center"/>
    </w:pPr>
    <w:rPr>
      <w:rFonts w:ascii="Times-Bold" w:hAnsi="Times-Bold"/>
      <w:b/>
      <w:bCs/>
    </w:rPr>
  </w:style>
  <w:style w:type="paragraph" w:styleId="BalloonText">
    <w:name w:val="Balloon Text"/>
    <w:basedOn w:val="Normal"/>
    <w:semiHidden/>
    <w:rsid w:val="00BB33F7"/>
    <w:rPr>
      <w:rFonts w:ascii="Tahoma" w:hAnsi="Tahoma" w:cs="Tahoma"/>
      <w:sz w:val="16"/>
      <w:szCs w:val="16"/>
    </w:rPr>
  </w:style>
  <w:style w:type="paragraph" w:styleId="ListParagraph">
    <w:name w:val="List Paragraph"/>
    <w:basedOn w:val="Normal"/>
    <w:uiPriority w:val="34"/>
    <w:qFormat/>
    <w:rsid w:val="00772FC4"/>
    <w:pPr>
      <w:ind w:left="720"/>
      <w:contextualSpacing/>
    </w:pPr>
  </w:style>
</w:styles>
</file>

<file path=word/webSettings.xml><?xml version="1.0" encoding="utf-8"?>
<w:webSettings xmlns:r="http://schemas.openxmlformats.org/officeDocument/2006/relationships" xmlns:w="http://schemas.openxmlformats.org/wordprocessingml/2006/main">
  <w:divs>
    <w:div w:id="319816418">
      <w:bodyDiv w:val="1"/>
      <w:marLeft w:val="0"/>
      <w:marRight w:val="0"/>
      <w:marTop w:val="0"/>
      <w:marBottom w:val="0"/>
      <w:divBdr>
        <w:top w:val="none" w:sz="0" w:space="0" w:color="auto"/>
        <w:left w:val="none" w:sz="0" w:space="0" w:color="auto"/>
        <w:bottom w:val="none" w:sz="0" w:space="0" w:color="auto"/>
        <w:right w:val="none" w:sz="0" w:space="0" w:color="auto"/>
      </w:divBdr>
    </w:div>
    <w:div w:id="401608305">
      <w:bodyDiv w:val="1"/>
      <w:marLeft w:val="0"/>
      <w:marRight w:val="0"/>
      <w:marTop w:val="0"/>
      <w:marBottom w:val="0"/>
      <w:divBdr>
        <w:top w:val="none" w:sz="0" w:space="0" w:color="auto"/>
        <w:left w:val="none" w:sz="0" w:space="0" w:color="auto"/>
        <w:bottom w:val="none" w:sz="0" w:space="0" w:color="auto"/>
        <w:right w:val="none" w:sz="0" w:space="0" w:color="auto"/>
      </w:divBdr>
    </w:div>
    <w:div w:id="902329580">
      <w:bodyDiv w:val="1"/>
      <w:marLeft w:val="0"/>
      <w:marRight w:val="0"/>
      <w:marTop w:val="0"/>
      <w:marBottom w:val="0"/>
      <w:divBdr>
        <w:top w:val="none" w:sz="0" w:space="0" w:color="auto"/>
        <w:left w:val="none" w:sz="0" w:space="0" w:color="auto"/>
        <w:bottom w:val="none" w:sz="0" w:space="0" w:color="auto"/>
        <w:right w:val="none" w:sz="0" w:space="0" w:color="auto"/>
      </w:divBdr>
    </w:div>
    <w:div w:id="1309439359">
      <w:bodyDiv w:val="1"/>
      <w:marLeft w:val="0"/>
      <w:marRight w:val="0"/>
      <w:marTop w:val="0"/>
      <w:marBottom w:val="0"/>
      <w:divBdr>
        <w:top w:val="none" w:sz="0" w:space="0" w:color="auto"/>
        <w:left w:val="none" w:sz="0" w:space="0" w:color="auto"/>
        <w:bottom w:val="none" w:sz="0" w:space="0" w:color="auto"/>
        <w:right w:val="none" w:sz="0" w:space="0" w:color="auto"/>
      </w:divBdr>
    </w:div>
    <w:div w:id="13476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ANNUAL REPORT FOR THE DIVISION OF ACADEMIC AFFAIRS</vt:lpstr>
    </vt:vector>
  </TitlesOfParts>
  <Company>Plattsburgh State University</Company>
  <LinksUpToDate>false</LinksUpToDate>
  <CharactersWithSpaces>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 THE DIVISION OF ACADEMIC AFFAIRS</dc:title>
  <dc:subject/>
  <dc:creator>Computing and Media Services</dc:creator>
  <cp:keywords/>
  <dc:description/>
  <cp:lastModifiedBy>Kevin ONeill</cp:lastModifiedBy>
  <cp:revision>13</cp:revision>
  <cp:lastPrinted>2011-06-13T17:30:00Z</cp:lastPrinted>
  <dcterms:created xsi:type="dcterms:W3CDTF">2011-06-13T17:31:00Z</dcterms:created>
  <dcterms:modified xsi:type="dcterms:W3CDTF">2011-06-14T08:49:00Z</dcterms:modified>
</cp:coreProperties>
</file>